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9AA90" w14:textId="77777777" w:rsidR="00702C31" w:rsidRPr="004E42E8" w:rsidRDefault="00702C31" w:rsidP="00E16720">
      <w:pPr>
        <w:spacing w:after="60"/>
        <w:rPr>
          <w:rFonts w:asciiTheme="minorHAnsi" w:hAnsiTheme="minorHAnsi" w:cstheme="minorHAnsi"/>
          <w:sz w:val="22"/>
          <w:szCs w:val="22"/>
        </w:rPr>
      </w:pPr>
      <w:r w:rsidRPr="004E42E8">
        <w:rPr>
          <w:rFonts w:asciiTheme="minorHAnsi" w:hAnsiTheme="minorHAnsi" w:cstheme="minorHAnsi"/>
          <w:sz w:val="22"/>
          <w:szCs w:val="22"/>
        </w:rPr>
        <w:br/>
      </w:r>
    </w:p>
    <w:p w14:paraId="637128BB" w14:textId="77777777" w:rsidR="00E16720" w:rsidRPr="004E42E8" w:rsidRDefault="00567B96" w:rsidP="00E16720">
      <w:pPr>
        <w:spacing w:after="60"/>
        <w:rPr>
          <w:rFonts w:asciiTheme="minorHAnsi" w:hAnsiTheme="minorHAnsi" w:cstheme="minorHAnsi"/>
          <w:sz w:val="22"/>
          <w:szCs w:val="22"/>
        </w:rPr>
      </w:pPr>
      <w:r w:rsidRPr="004E42E8">
        <w:rPr>
          <w:rFonts w:asciiTheme="minorHAnsi" w:hAnsiTheme="minorHAnsi" w:cstheme="minorHAnsi"/>
          <w:noProof/>
          <w:sz w:val="22"/>
          <w:szCs w:val="22"/>
        </w:rPr>
        <w:drawing>
          <wp:inline distT="0" distB="0" distL="0" distR="0" wp14:anchorId="3A3CD92B" wp14:editId="4B6416B8">
            <wp:extent cx="5029200" cy="9186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a:stretch>
                      <a:fillRect/>
                    </a:stretch>
                  </pic:blipFill>
                  <pic:spPr bwMode="auto">
                    <a:xfrm>
                      <a:off x="0" y="0"/>
                      <a:ext cx="5121605" cy="935571"/>
                    </a:xfrm>
                    <a:prstGeom prst="rect">
                      <a:avLst/>
                    </a:prstGeom>
                    <a:noFill/>
                    <a:ln>
                      <a:noFill/>
                    </a:ln>
                  </pic:spPr>
                </pic:pic>
              </a:graphicData>
            </a:graphic>
          </wp:inline>
        </w:drawing>
      </w:r>
    </w:p>
    <w:p w14:paraId="073486A6" w14:textId="77777777" w:rsidR="00E16720" w:rsidRPr="004E42E8" w:rsidRDefault="00E16720" w:rsidP="00E16720">
      <w:pPr>
        <w:jc w:val="both"/>
        <w:rPr>
          <w:rFonts w:asciiTheme="minorHAnsi" w:hAnsiTheme="minorHAnsi" w:cstheme="minorHAnsi"/>
          <w:sz w:val="22"/>
          <w:szCs w:val="22"/>
        </w:rPr>
      </w:pPr>
    </w:p>
    <w:p w14:paraId="051E3353" w14:textId="03D6900B" w:rsidR="00E16720" w:rsidRDefault="009E6279" w:rsidP="009E6279">
      <w:pPr>
        <w:jc w:val="center"/>
        <w:rPr>
          <w:rFonts w:asciiTheme="minorHAnsi" w:hAnsiTheme="minorHAnsi" w:cstheme="minorHAnsi"/>
          <w:b/>
          <w:bCs/>
          <w:sz w:val="28"/>
          <w:szCs w:val="28"/>
        </w:rPr>
      </w:pPr>
      <w:r w:rsidRPr="004E42E8">
        <w:rPr>
          <w:rFonts w:asciiTheme="minorHAnsi" w:hAnsiTheme="minorHAnsi" w:cstheme="minorHAnsi"/>
          <w:b/>
          <w:bCs/>
          <w:sz w:val="28"/>
          <w:szCs w:val="28"/>
        </w:rPr>
        <w:t xml:space="preserve">HEALTH </w:t>
      </w:r>
      <w:r w:rsidR="004E42E8">
        <w:rPr>
          <w:rFonts w:asciiTheme="minorHAnsi" w:hAnsiTheme="minorHAnsi" w:cstheme="minorHAnsi"/>
          <w:b/>
          <w:bCs/>
          <w:sz w:val="28"/>
          <w:szCs w:val="28"/>
        </w:rPr>
        <w:t>UPDATE</w:t>
      </w:r>
    </w:p>
    <w:p w14:paraId="596099D0" w14:textId="78C2FB41" w:rsidR="00EF517C" w:rsidRPr="00EF517C" w:rsidRDefault="00EF517C" w:rsidP="009E6279">
      <w:pPr>
        <w:jc w:val="center"/>
        <w:rPr>
          <w:rFonts w:asciiTheme="minorHAnsi" w:hAnsiTheme="minorHAnsi" w:cstheme="minorHAnsi"/>
          <w:b/>
          <w:bCs/>
        </w:rPr>
      </w:pPr>
      <w:r>
        <w:rPr>
          <w:rFonts w:asciiTheme="minorHAnsi" w:hAnsiTheme="minorHAnsi" w:cstheme="minorHAnsi"/>
          <w:b/>
          <w:bCs/>
        </w:rPr>
        <w:t>December 2, 2021</w:t>
      </w:r>
    </w:p>
    <w:p w14:paraId="00998B06" w14:textId="77777777" w:rsidR="009E6279" w:rsidRPr="00EF517C" w:rsidRDefault="009E6279" w:rsidP="009E6279">
      <w:pPr>
        <w:jc w:val="center"/>
        <w:rPr>
          <w:rFonts w:asciiTheme="minorHAnsi" w:hAnsiTheme="minorHAnsi" w:cstheme="minorHAnsi"/>
          <w:b/>
          <w:bCs/>
          <w:sz w:val="28"/>
          <w:szCs w:val="28"/>
        </w:rPr>
      </w:pPr>
    </w:p>
    <w:p w14:paraId="29A0EA13" w14:textId="77777777" w:rsidR="00EF517C" w:rsidRPr="00EF517C" w:rsidRDefault="00EF517C" w:rsidP="009E6279">
      <w:pPr>
        <w:jc w:val="center"/>
        <w:rPr>
          <w:rFonts w:asciiTheme="minorHAnsi" w:hAnsiTheme="minorHAnsi" w:cstheme="minorHAnsi"/>
        </w:rPr>
      </w:pPr>
      <w:r w:rsidRPr="00EF517C">
        <w:rPr>
          <w:rFonts w:asciiTheme="minorHAnsi" w:hAnsiTheme="minorHAnsi" w:cstheme="minorHAnsi"/>
        </w:rPr>
        <w:t xml:space="preserve">Please distribute to all providers in the facility </w:t>
      </w:r>
    </w:p>
    <w:p w14:paraId="09DC6CC4" w14:textId="20A8A98B" w:rsidR="009E6279" w:rsidRPr="00EF517C" w:rsidRDefault="00EF517C" w:rsidP="009E6279">
      <w:pPr>
        <w:jc w:val="center"/>
        <w:rPr>
          <w:rFonts w:asciiTheme="minorHAnsi" w:hAnsiTheme="minorHAnsi" w:cstheme="minorHAnsi"/>
          <w:sz w:val="28"/>
          <w:szCs w:val="28"/>
        </w:rPr>
      </w:pPr>
      <w:r w:rsidRPr="00EF517C">
        <w:rPr>
          <w:rFonts w:asciiTheme="minorHAnsi" w:hAnsiTheme="minorHAnsi" w:cstheme="minorHAnsi"/>
        </w:rPr>
        <w:t xml:space="preserve">Go to </w:t>
      </w:r>
      <w:hyperlink r:id="rId9" w:history="1">
        <w:r w:rsidR="00DE64D8">
          <w:rPr>
            <w:rStyle w:val="Hyperlink"/>
          </w:rPr>
          <w:t>Shasta County Health and Human Services Agency - Medical Professionals</w:t>
        </w:r>
      </w:hyperlink>
      <w:r w:rsidR="00DE64D8">
        <w:t xml:space="preserve"> </w:t>
      </w:r>
      <w:r w:rsidRPr="00EF517C">
        <w:rPr>
          <w:rFonts w:asciiTheme="minorHAnsi" w:hAnsiTheme="minorHAnsi" w:cstheme="minorHAnsi"/>
        </w:rPr>
        <w:t>for an electronic version of this Health Update</w:t>
      </w:r>
    </w:p>
    <w:p w14:paraId="62583E23" w14:textId="77777777" w:rsidR="00A14EA3" w:rsidRPr="004E42E8" w:rsidRDefault="00A14EA3" w:rsidP="009E6279">
      <w:pPr>
        <w:jc w:val="center"/>
        <w:rPr>
          <w:rFonts w:asciiTheme="minorHAnsi" w:hAnsiTheme="minorHAnsi" w:cstheme="minorHAnsi"/>
          <w:sz w:val="28"/>
          <w:szCs w:val="28"/>
        </w:rPr>
      </w:pPr>
    </w:p>
    <w:p w14:paraId="477AA8C7" w14:textId="2F0B1457" w:rsidR="009E6279" w:rsidRPr="008A2C6A" w:rsidRDefault="009E6279" w:rsidP="009E6279">
      <w:pPr>
        <w:jc w:val="center"/>
        <w:rPr>
          <w:rFonts w:asciiTheme="minorHAnsi" w:hAnsiTheme="minorHAnsi" w:cstheme="minorHAnsi"/>
          <w:b/>
          <w:bCs/>
          <w:sz w:val="28"/>
          <w:szCs w:val="28"/>
        </w:rPr>
      </w:pPr>
      <w:r w:rsidRPr="008A2C6A">
        <w:rPr>
          <w:rFonts w:asciiTheme="minorHAnsi" w:hAnsiTheme="minorHAnsi" w:cstheme="minorHAnsi"/>
          <w:b/>
          <w:bCs/>
          <w:sz w:val="28"/>
          <w:szCs w:val="28"/>
        </w:rPr>
        <w:t>Latent Tuberculosis Infection Treatment</w:t>
      </w:r>
    </w:p>
    <w:p w14:paraId="27D7757A" w14:textId="77777777" w:rsidR="00EF517C" w:rsidRDefault="00EF517C" w:rsidP="009E6279">
      <w:pPr>
        <w:jc w:val="both"/>
        <w:rPr>
          <w:rFonts w:asciiTheme="minorHAnsi" w:hAnsiTheme="minorHAnsi" w:cstheme="minorHAnsi"/>
          <w:b/>
          <w:bCs/>
        </w:rPr>
      </w:pPr>
    </w:p>
    <w:p w14:paraId="571825F2" w14:textId="0878CA80" w:rsidR="009E6279" w:rsidRPr="00EF517C" w:rsidRDefault="00EF517C" w:rsidP="009E6279">
      <w:pPr>
        <w:jc w:val="both"/>
        <w:rPr>
          <w:rFonts w:asciiTheme="minorHAnsi" w:hAnsiTheme="minorHAnsi" w:cstheme="minorHAnsi"/>
        </w:rPr>
      </w:pPr>
      <w:r>
        <w:rPr>
          <w:rFonts w:asciiTheme="minorHAnsi" w:hAnsiTheme="minorHAnsi" w:cstheme="minorHAnsi"/>
          <w:b/>
          <w:bCs/>
        </w:rPr>
        <w:t>The purpose of this health update</w:t>
      </w:r>
      <w:r>
        <w:rPr>
          <w:rFonts w:asciiTheme="minorHAnsi" w:hAnsiTheme="minorHAnsi" w:cstheme="minorHAnsi"/>
        </w:rPr>
        <w:t xml:space="preserve"> is to provide information on the importance of diagnosis and treatment of latent </w:t>
      </w:r>
      <w:r w:rsidR="007C1885">
        <w:rPr>
          <w:rFonts w:asciiTheme="minorHAnsi" w:hAnsiTheme="minorHAnsi" w:cstheme="minorHAnsi"/>
        </w:rPr>
        <w:t>t</w:t>
      </w:r>
      <w:r>
        <w:rPr>
          <w:rFonts w:asciiTheme="minorHAnsi" w:hAnsiTheme="minorHAnsi" w:cstheme="minorHAnsi"/>
        </w:rPr>
        <w:t xml:space="preserve">uberculosis </w:t>
      </w:r>
      <w:r w:rsidR="00B9190E">
        <w:rPr>
          <w:rFonts w:asciiTheme="minorHAnsi" w:hAnsiTheme="minorHAnsi" w:cstheme="minorHAnsi"/>
        </w:rPr>
        <w:t xml:space="preserve">and easy to use resource tools for managing patients. </w:t>
      </w:r>
    </w:p>
    <w:p w14:paraId="17786992" w14:textId="0176CCC7" w:rsidR="009E6279" w:rsidRPr="004E42E8" w:rsidRDefault="009E6279" w:rsidP="009E6279">
      <w:pPr>
        <w:jc w:val="both"/>
        <w:rPr>
          <w:rFonts w:asciiTheme="minorHAnsi" w:hAnsiTheme="minorHAnsi" w:cstheme="minorHAnsi"/>
          <w:b/>
          <w:bCs/>
        </w:rPr>
      </w:pPr>
    </w:p>
    <w:p w14:paraId="114C282F" w14:textId="6B2DD848" w:rsidR="009E6279" w:rsidRPr="004E42E8" w:rsidRDefault="009E6279" w:rsidP="009E6279">
      <w:pPr>
        <w:jc w:val="both"/>
        <w:rPr>
          <w:rFonts w:asciiTheme="minorHAnsi" w:hAnsiTheme="minorHAnsi" w:cstheme="minorHAnsi"/>
        </w:rPr>
      </w:pPr>
      <w:r w:rsidRPr="004E42E8">
        <w:rPr>
          <w:rFonts w:asciiTheme="minorHAnsi" w:hAnsiTheme="minorHAnsi" w:cstheme="minorHAnsi"/>
          <w:noProof/>
        </w:rPr>
        <w:drawing>
          <wp:inline distT="0" distB="0" distL="0" distR="0" wp14:anchorId="2BAF0A4F" wp14:editId="7862E1F1">
            <wp:extent cx="5943600" cy="1604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604010"/>
                    </a:xfrm>
                    <a:prstGeom prst="rect">
                      <a:avLst/>
                    </a:prstGeom>
                  </pic:spPr>
                </pic:pic>
              </a:graphicData>
            </a:graphic>
          </wp:inline>
        </w:drawing>
      </w:r>
    </w:p>
    <w:p w14:paraId="0556E697" w14:textId="77777777" w:rsidR="009E6279" w:rsidRPr="004E42E8" w:rsidRDefault="009E6279" w:rsidP="009E6279">
      <w:pPr>
        <w:jc w:val="both"/>
        <w:rPr>
          <w:rFonts w:asciiTheme="minorHAnsi" w:hAnsiTheme="minorHAnsi" w:cstheme="minorHAnsi"/>
        </w:rPr>
      </w:pPr>
    </w:p>
    <w:p w14:paraId="5E44997F" w14:textId="1CD11065" w:rsidR="009E6279" w:rsidRPr="004E42E8" w:rsidRDefault="001274BD" w:rsidP="001274BD">
      <w:pPr>
        <w:jc w:val="both"/>
        <w:rPr>
          <w:rFonts w:asciiTheme="minorHAnsi" w:hAnsiTheme="minorHAnsi" w:cstheme="minorHAnsi"/>
          <w:b/>
          <w:bCs/>
        </w:rPr>
      </w:pPr>
      <w:r w:rsidRPr="004E42E8">
        <w:rPr>
          <w:rFonts w:asciiTheme="minorHAnsi" w:hAnsiTheme="minorHAnsi" w:cstheme="minorHAnsi"/>
          <w:b/>
          <w:bCs/>
        </w:rPr>
        <w:t>Introduction</w:t>
      </w:r>
    </w:p>
    <w:p w14:paraId="1B6EA592" w14:textId="7ED29253" w:rsidR="001274BD" w:rsidRPr="004E42E8" w:rsidRDefault="001274BD" w:rsidP="001274BD">
      <w:pPr>
        <w:jc w:val="both"/>
        <w:rPr>
          <w:rFonts w:asciiTheme="minorHAnsi" w:hAnsiTheme="minorHAnsi" w:cstheme="minorHAnsi"/>
          <w:b/>
          <w:bCs/>
        </w:rPr>
      </w:pPr>
    </w:p>
    <w:p w14:paraId="5AADECB8" w14:textId="447E7107" w:rsidR="0021094D" w:rsidRPr="004E42E8" w:rsidRDefault="001274BD" w:rsidP="001274BD">
      <w:pPr>
        <w:jc w:val="both"/>
        <w:rPr>
          <w:rFonts w:asciiTheme="minorHAnsi" w:hAnsiTheme="minorHAnsi" w:cstheme="minorHAnsi"/>
        </w:rPr>
      </w:pPr>
      <w:r w:rsidRPr="004E42E8">
        <w:rPr>
          <w:rFonts w:asciiTheme="minorHAnsi" w:hAnsiTheme="minorHAnsi" w:cstheme="minorHAnsi"/>
        </w:rPr>
        <w:t xml:space="preserve">Treatment of latent tuberculosis infection (LTBI) is essential to controlling and eliminating </w:t>
      </w:r>
      <w:r w:rsidR="007C1885" w:rsidRPr="004E42E8">
        <w:rPr>
          <w:rFonts w:asciiTheme="minorHAnsi" w:hAnsiTheme="minorHAnsi" w:cstheme="minorHAnsi"/>
        </w:rPr>
        <w:t xml:space="preserve">tuberculosis (TB) </w:t>
      </w:r>
      <w:r w:rsidRPr="004E42E8">
        <w:rPr>
          <w:rFonts w:asciiTheme="minorHAnsi" w:hAnsiTheme="minorHAnsi" w:cstheme="minorHAnsi"/>
        </w:rPr>
        <w:t xml:space="preserve">in the United States, because it substantially reduces the risk that TB infection will progress to </w:t>
      </w:r>
      <w:r w:rsidR="007C1885">
        <w:rPr>
          <w:rFonts w:asciiTheme="minorHAnsi" w:hAnsiTheme="minorHAnsi" w:cstheme="minorHAnsi"/>
        </w:rPr>
        <w:t xml:space="preserve">active </w:t>
      </w:r>
      <w:r w:rsidRPr="004E42E8">
        <w:rPr>
          <w:rFonts w:asciiTheme="minorHAnsi" w:hAnsiTheme="minorHAnsi" w:cstheme="minorHAnsi"/>
        </w:rPr>
        <w:t>TB disease</w:t>
      </w:r>
      <w:r w:rsidR="0021094D" w:rsidRPr="004E42E8">
        <w:rPr>
          <w:rFonts w:asciiTheme="minorHAnsi" w:hAnsiTheme="minorHAnsi" w:cstheme="minorHAnsi"/>
        </w:rPr>
        <w:t>, an illness that is transmissible to others</w:t>
      </w:r>
      <w:r w:rsidRPr="004E42E8">
        <w:rPr>
          <w:rFonts w:asciiTheme="minorHAnsi" w:hAnsiTheme="minorHAnsi" w:cstheme="minorHAnsi"/>
        </w:rPr>
        <w:t xml:space="preserve">. Shasta County is seeing an increasing number </w:t>
      </w:r>
      <w:r w:rsidR="0021094D" w:rsidRPr="004E42E8">
        <w:rPr>
          <w:rFonts w:asciiTheme="minorHAnsi" w:hAnsiTheme="minorHAnsi" w:cstheme="minorHAnsi"/>
        </w:rPr>
        <w:t xml:space="preserve">of positive IGRA (Interferon-Gamma Release Assays) results, which are laboratory reportable to Public Health. A positive IGRA </w:t>
      </w:r>
      <w:r w:rsidR="00AA61EF" w:rsidRPr="004E42E8">
        <w:rPr>
          <w:rFonts w:asciiTheme="minorHAnsi" w:hAnsiTheme="minorHAnsi" w:cstheme="minorHAnsi"/>
        </w:rPr>
        <w:t xml:space="preserve">blood test </w:t>
      </w:r>
      <w:r w:rsidR="00FB3DDA" w:rsidRPr="004E42E8">
        <w:rPr>
          <w:rFonts w:asciiTheme="minorHAnsi" w:hAnsiTheme="minorHAnsi" w:cstheme="minorHAnsi"/>
        </w:rPr>
        <w:t xml:space="preserve">or TB skin test indicates </w:t>
      </w:r>
      <w:r w:rsidR="0021094D" w:rsidRPr="004E42E8">
        <w:rPr>
          <w:rFonts w:asciiTheme="minorHAnsi" w:hAnsiTheme="minorHAnsi" w:cstheme="minorHAnsi"/>
        </w:rPr>
        <w:t xml:space="preserve">LTBI, a treatable condition. </w:t>
      </w:r>
    </w:p>
    <w:p w14:paraId="142C217D" w14:textId="7C0D6CDB" w:rsidR="0021094D" w:rsidRPr="004E42E8" w:rsidRDefault="0021094D" w:rsidP="001274BD">
      <w:pPr>
        <w:jc w:val="both"/>
        <w:rPr>
          <w:rFonts w:asciiTheme="minorHAnsi" w:hAnsiTheme="minorHAnsi" w:cstheme="minorHAnsi"/>
        </w:rPr>
      </w:pPr>
    </w:p>
    <w:p w14:paraId="67F79454" w14:textId="77777777" w:rsidR="00E81EC1" w:rsidRDefault="00E81EC1">
      <w:pPr>
        <w:spacing w:after="160" w:line="259" w:lineRule="auto"/>
        <w:rPr>
          <w:rFonts w:asciiTheme="minorHAnsi" w:hAnsiTheme="minorHAnsi" w:cstheme="minorHAnsi"/>
          <w:b/>
          <w:bCs/>
        </w:rPr>
      </w:pPr>
      <w:r>
        <w:rPr>
          <w:rFonts w:asciiTheme="minorHAnsi" w:hAnsiTheme="minorHAnsi" w:cstheme="minorHAnsi"/>
          <w:b/>
          <w:bCs/>
        </w:rPr>
        <w:br w:type="page"/>
      </w:r>
    </w:p>
    <w:p w14:paraId="51EA0A2D" w14:textId="16161385" w:rsidR="0021094D" w:rsidRPr="004E42E8" w:rsidRDefault="0021094D" w:rsidP="001274BD">
      <w:pPr>
        <w:jc w:val="both"/>
        <w:rPr>
          <w:rFonts w:asciiTheme="minorHAnsi" w:hAnsiTheme="minorHAnsi" w:cstheme="minorHAnsi"/>
          <w:b/>
          <w:bCs/>
        </w:rPr>
      </w:pPr>
      <w:r w:rsidRPr="004E42E8">
        <w:rPr>
          <w:rFonts w:asciiTheme="minorHAnsi" w:hAnsiTheme="minorHAnsi" w:cstheme="minorHAnsi"/>
          <w:b/>
          <w:bCs/>
        </w:rPr>
        <w:lastRenderedPageBreak/>
        <w:t>Background</w:t>
      </w:r>
    </w:p>
    <w:p w14:paraId="19AC019D" w14:textId="77777777" w:rsidR="004B15AB" w:rsidRDefault="004B15AB" w:rsidP="001274BD">
      <w:pPr>
        <w:jc w:val="both"/>
      </w:pPr>
    </w:p>
    <w:p w14:paraId="4365953D" w14:textId="75ABC905" w:rsidR="004B15AB" w:rsidRDefault="004B15AB" w:rsidP="001274BD">
      <w:pPr>
        <w:jc w:val="both"/>
        <w:rPr>
          <w:rFonts w:asciiTheme="minorHAnsi" w:hAnsiTheme="minorHAnsi" w:cstheme="minorHAnsi"/>
        </w:rPr>
      </w:pPr>
      <w:r w:rsidRPr="00675B4B">
        <w:rPr>
          <w:rFonts w:asciiTheme="minorHAnsi" w:hAnsiTheme="minorHAnsi" w:cstheme="minorHAnsi"/>
        </w:rPr>
        <w:t xml:space="preserve">Though on the decline in 2020, California’s annual TB incidence is more than double the national incidence. </w:t>
      </w:r>
      <w:r w:rsidR="006005DD">
        <w:rPr>
          <w:rFonts w:asciiTheme="minorHAnsi" w:hAnsiTheme="minorHAnsi" w:cstheme="minorHAnsi"/>
        </w:rPr>
        <w:t>Last year,</w:t>
      </w:r>
      <w:r w:rsidR="00F93656" w:rsidRPr="00675B4B">
        <w:rPr>
          <w:rFonts w:asciiTheme="minorHAnsi" w:hAnsiTheme="minorHAnsi" w:cstheme="minorHAnsi"/>
        </w:rPr>
        <w:t xml:space="preserve"> </w:t>
      </w:r>
      <w:r w:rsidRPr="00675B4B">
        <w:rPr>
          <w:rFonts w:asciiTheme="minorHAnsi" w:hAnsiTheme="minorHAnsi" w:cstheme="minorHAnsi"/>
        </w:rPr>
        <w:t>TB cases were reported in 43 of California’s 61 local health jurisdictions</w:t>
      </w:r>
      <w:r w:rsidR="00675B4B">
        <w:rPr>
          <w:rFonts w:asciiTheme="minorHAnsi" w:hAnsiTheme="minorHAnsi" w:cstheme="minorHAnsi"/>
        </w:rPr>
        <w:t xml:space="preserve"> </w:t>
      </w:r>
      <w:r w:rsidR="00167A52">
        <w:rPr>
          <w:rFonts w:asciiTheme="minorHAnsi" w:hAnsiTheme="minorHAnsi" w:cstheme="minorHAnsi"/>
        </w:rPr>
        <w:t xml:space="preserve">of which </w:t>
      </w:r>
      <w:r w:rsidRPr="00675B4B">
        <w:rPr>
          <w:rFonts w:asciiTheme="minorHAnsi" w:hAnsiTheme="minorHAnsi" w:cstheme="minorHAnsi"/>
        </w:rPr>
        <w:t>12 jurisdictions reported 1–4 cases</w:t>
      </w:r>
      <w:r w:rsidR="00167A52">
        <w:rPr>
          <w:rFonts w:asciiTheme="minorHAnsi" w:hAnsiTheme="minorHAnsi" w:cstheme="minorHAnsi"/>
        </w:rPr>
        <w:t>, including Shasta county</w:t>
      </w:r>
      <w:r w:rsidRPr="00675B4B">
        <w:rPr>
          <w:rFonts w:asciiTheme="minorHAnsi" w:hAnsiTheme="minorHAnsi" w:cstheme="minorHAnsi"/>
        </w:rPr>
        <w:t>.</w:t>
      </w:r>
    </w:p>
    <w:p w14:paraId="21BE208F" w14:textId="77777777" w:rsidR="00167A52" w:rsidRPr="00675B4B" w:rsidRDefault="00167A52" w:rsidP="001274BD">
      <w:pPr>
        <w:jc w:val="both"/>
        <w:rPr>
          <w:rFonts w:asciiTheme="minorHAnsi" w:hAnsiTheme="minorHAnsi" w:cstheme="minorHAnsi"/>
        </w:rPr>
      </w:pPr>
    </w:p>
    <w:p w14:paraId="3D8905B5" w14:textId="5A4BB848" w:rsidR="00463FDA" w:rsidRPr="006005DD" w:rsidRDefault="004B15AB" w:rsidP="001274BD">
      <w:pPr>
        <w:jc w:val="both"/>
        <w:rPr>
          <w:rFonts w:asciiTheme="minorHAnsi" w:hAnsiTheme="minorHAnsi" w:cstheme="minorHAnsi"/>
          <w:b/>
          <w:bCs/>
          <w:i/>
          <w:iCs/>
        </w:rPr>
      </w:pPr>
      <w:r w:rsidRPr="00675B4B">
        <w:rPr>
          <w:rFonts w:asciiTheme="minorHAnsi" w:hAnsiTheme="minorHAnsi" w:cstheme="minorHAnsi"/>
        </w:rPr>
        <w:t xml:space="preserve">More than 2 million Californians have LTBI. Approximately 1.8 million were born outside the U.S., of whom only 20% are aware of their LTBI and only 12% have been treated. </w:t>
      </w:r>
      <w:r w:rsidRPr="006005DD">
        <w:rPr>
          <w:rFonts w:asciiTheme="minorHAnsi" w:hAnsiTheme="minorHAnsi" w:cstheme="minorHAnsi"/>
          <w:b/>
          <w:bCs/>
          <w:i/>
          <w:iCs/>
        </w:rPr>
        <w:t>Because an estimated</w:t>
      </w:r>
      <w:r w:rsidR="00167A52" w:rsidRPr="006005DD">
        <w:rPr>
          <w:rFonts w:asciiTheme="minorHAnsi" w:hAnsiTheme="minorHAnsi" w:cstheme="minorHAnsi"/>
          <w:b/>
          <w:bCs/>
          <w:i/>
          <w:iCs/>
        </w:rPr>
        <w:t xml:space="preserve"> 80-</w:t>
      </w:r>
      <w:r w:rsidRPr="006005DD">
        <w:rPr>
          <w:rFonts w:asciiTheme="minorHAnsi" w:hAnsiTheme="minorHAnsi" w:cstheme="minorHAnsi"/>
          <w:b/>
          <w:bCs/>
          <w:i/>
          <w:iCs/>
        </w:rPr>
        <w:t xml:space="preserve"> 85% of cases occur because of progression from LTBI, treating LTBI will prevent many TB cases in California</w:t>
      </w:r>
      <w:r w:rsidR="006005DD" w:rsidRPr="006005DD">
        <w:rPr>
          <w:rFonts w:asciiTheme="minorHAnsi" w:hAnsiTheme="minorHAnsi" w:cstheme="minorHAnsi"/>
          <w:b/>
          <w:bCs/>
          <w:i/>
          <w:iCs/>
        </w:rPr>
        <w:t>.</w:t>
      </w:r>
    </w:p>
    <w:p w14:paraId="6405C954" w14:textId="77777777" w:rsidR="004B15AB" w:rsidRPr="004E42E8" w:rsidRDefault="004B15AB" w:rsidP="001274BD">
      <w:pPr>
        <w:jc w:val="both"/>
        <w:rPr>
          <w:rFonts w:asciiTheme="minorHAnsi" w:hAnsiTheme="minorHAnsi" w:cstheme="minorHAnsi"/>
          <w:b/>
          <w:bCs/>
        </w:rPr>
      </w:pPr>
    </w:p>
    <w:p w14:paraId="1907FBDF" w14:textId="40C6ABDA" w:rsidR="00463FDA" w:rsidRPr="004E42E8" w:rsidRDefault="00463FDA" w:rsidP="001274BD">
      <w:pPr>
        <w:jc w:val="both"/>
        <w:rPr>
          <w:rFonts w:asciiTheme="minorHAnsi" w:hAnsiTheme="minorHAnsi" w:cstheme="minorHAnsi"/>
          <w:b/>
          <w:bCs/>
        </w:rPr>
      </w:pPr>
      <w:r w:rsidRPr="004E42E8">
        <w:rPr>
          <w:rFonts w:asciiTheme="minorHAnsi" w:hAnsiTheme="minorHAnsi" w:cstheme="minorHAnsi"/>
          <w:b/>
          <w:bCs/>
        </w:rPr>
        <w:t>What is TB?</w:t>
      </w:r>
    </w:p>
    <w:p w14:paraId="480311B6" w14:textId="38CB4038" w:rsidR="0021094D" w:rsidRPr="004E42E8" w:rsidRDefault="0021094D" w:rsidP="001274BD">
      <w:pPr>
        <w:jc w:val="both"/>
        <w:rPr>
          <w:rFonts w:asciiTheme="minorHAnsi" w:hAnsiTheme="minorHAnsi" w:cstheme="minorHAnsi"/>
          <w:b/>
          <w:bCs/>
        </w:rPr>
      </w:pPr>
    </w:p>
    <w:p w14:paraId="686B7AA9" w14:textId="1428F3E4" w:rsidR="0021094D" w:rsidRPr="004E42E8" w:rsidRDefault="00463FDA" w:rsidP="001274BD">
      <w:pPr>
        <w:jc w:val="both"/>
        <w:rPr>
          <w:rFonts w:asciiTheme="minorHAnsi" w:hAnsiTheme="minorHAnsi" w:cstheme="minorHAnsi"/>
        </w:rPr>
      </w:pPr>
      <w:r w:rsidRPr="004E42E8">
        <w:rPr>
          <w:rFonts w:asciiTheme="minorHAnsi" w:hAnsiTheme="minorHAnsi" w:cstheme="minorHAnsi"/>
        </w:rPr>
        <w:t>Mycobacterium tuberculosis is spread from person to person through the air</w:t>
      </w:r>
      <w:r w:rsidR="00167A52">
        <w:rPr>
          <w:rFonts w:asciiTheme="minorHAnsi" w:hAnsiTheme="minorHAnsi" w:cstheme="minorHAnsi"/>
        </w:rPr>
        <w:t xml:space="preserve"> via </w:t>
      </w:r>
      <w:r w:rsidR="00167A52" w:rsidRPr="004E42E8">
        <w:rPr>
          <w:rFonts w:asciiTheme="minorHAnsi" w:hAnsiTheme="minorHAnsi" w:cstheme="minorHAnsi"/>
        </w:rPr>
        <w:t>droplet nuclei containing M. tuberculosis</w:t>
      </w:r>
      <w:r w:rsidRPr="004E42E8">
        <w:rPr>
          <w:rFonts w:asciiTheme="minorHAnsi" w:hAnsiTheme="minorHAnsi" w:cstheme="minorHAnsi"/>
        </w:rPr>
        <w:t xml:space="preserve">. TB usually </w:t>
      </w:r>
      <w:r w:rsidR="00167A52">
        <w:rPr>
          <w:rFonts w:asciiTheme="minorHAnsi" w:hAnsiTheme="minorHAnsi" w:cstheme="minorHAnsi"/>
        </w:rPr>
        <w:t>infects</w:t>
      </w:r>
      <w:r w:rsidRPr="004E42E8">
        <w:rPr>
          <w:rFonts w:asciiTheme="minorHAnsi" w:hAnsiTheme="minorHAnsi" w:cstheme="minorHAnsi"/>
        </w:rPr>
        <w:t xml:space="preserve"> the lungs, but it can also affect other parts of the body, such as the brain, the kidneys, or the spine. If another person inhales air containing these droplet nuclei, he or she may become infected. However, not everyone infected with TB bacteria becomes sick. As a result, two TB-related conditions exist: latent TB infection and TB disease.</w:t>
      </w:r>
    </w:p>
    <w:p w14:paraId="40E13548" w14:textId="1AB5AE99" w:rsidR="00463FDA" w:rsidRPr="004E42E8" w:rsidRDefault="00463FDA" w:rsidP="001274BD">
      <w:pPr>
        <w:jc w:val="both"/>
        <w:rPr>
          <w:rFonts w:asciiTheme="minorHAnsi" w:hAnsiTheme="minorHAnsi" w:cstheme="minorHAnsi"/>
        </w:rPr>
      </w:pPr>
    </w:p>
    <w:p w14:paraId="46F7D2F0" w14:textId="7328F98F" w:rsidR="00463FDA" w:rsidRPr="004E42E8" w:rsidRDefault="00463FDA" w:rsidP="001274BD">
      <w:pPr>
        <w:jc w:val="both"/>
        <w:rPr>
          <w:rFonts w:asciiTheme="minorHAnsi" w:hAnsiTheme="minorHAnsi" w:cstheme="minorHAnsi"/>
          <w:b/>
          <w:bCs/>
        </w:rPr>
      </w:pPr>
      <w:r w:rsidRPr="004E42E8">
        <w:rPr>
          <w:rFonts w:asciiTheme="minorHAnsi" w:hAnsiTheme="minorHAnsi" w:cstheme="minorHAnsi"/>
          <w:b/>
          <w:bCs/>
        </w:rPr>
        <w:t>Latent TB Infection</w:t>
      </w:r>
    </w:p>
    <w:p w14:paraId="3570367D" w14:textId="05FAE1A8" w:rsidR="00463FDA" w:rsidRPr="004E42E8" w:rsidRDefault="00463FDA" w:rsidP="001274BD">
      <w:pPr>
        <w:jc w:val="both"/>
        <w:rPr>
          <w:rFonts w:asciiTheme="minorHAnsi" w:hAnsiTheme="minorHAnsi" w:cstheme="minorHAnsi"/>
        </w:rPr>
      </w:pPr>
    </w:p>
    <w:p w14:paraId="04AFA381" w14:textId="604FA6AE" w:rsidR="00463FDA" w:rsidRPr="004E42E8" w:rsidRDefault="00463FDA" w:rsidP="001274BD">
      <w:pPr>
        <w:jc w:val="both"/>
        <w:rPr>
          <w:rFonts w:asciiTheme="minorHAnsi" w:hAnsiTheme="minorHAnsi" w:cstheme="minorHAnsi"/>
        </w:rPr>
      </w:pPr>
      <w:r w:rsidRPr="004E42E8">
        <w:rPr>
          <w:rFonts w:asciiTheme="minorHAnsi" w:hAnsiTheme="minorHAnsi" w:cstheme="minorHAnsi"/>
        </w:rPr>
        <w:t>Persons with latent TB infection do not feel sick and do not have any symptoms. They are infected with M. tuberculosis, but do not have TB disease.  The only sign of TB infection is a positive reaction to the tuberculin skin test or TB blood test (IGRA). Persons with latent TB infection are not infectious and cannot spread TB infection to others. Overall, without treatment, about 5 to 10% of infected persons will develop TB disease at so</w:t>
      </w:r>
      <w:r w:rsidR="00381896" w:rsidRPr="004E42E8">
        <w:rPr>
          <w:rFonts w:asciiTheme="minorHAnsi" w:hAnsiTheme="minorHAnsi" w:cstheme="minorHAnsi"/>
        </w:rPr>
        <w:t>me time in their lives. For persons whose immune systems are weak</w:t>
      </w:r>
      <w:r w:rsidR="00AA61EF" w:rsidRPr="004E42E8">
        <w:rPr>
          <w:rFonts w:asciiTheme="minorHAnsi" w:hAnsiTheme="minorHAnsi" w:cstheme="minorHAnsi"/>
        </w:rPr>
        <w:t xml:space="preserve"> the risk of developing TB disease </w:t>
      </w:r>
      <w:proofErr w:type="gramStart"/>
      <w:r w:rsidR="00AA61EF" w:rsidRPr="004E42E8">
        <w:rPr>
          <w:rFonts w:asciiTheme="minorHAnsi" w:hAnsiTheme="minorHAnsi" w:cstheme="minorHAnsi"/>
        </w:rPr>
        <w:t>are</w:t>
      </w:r>
      <w:proofErr w:type="gramEnd"/>
      <w:r w:rsidR="00AA61EF" w:rsidRPr="004E42E8">
        <w:rPr>
          <w:rFonts w:asciiTheme="minorHAnsi" w:hAnsiTheme="minorHAnsi" w:cstheme="minorHAnsi"/>
        </w:rPr>
        <w:t xml:space="preserve"> much higher</w:t>
      </w:r>
      <w:r w:rsidR="00381896" w:rsidRPr="004E42E8">
        <w:rPr>
          <w:rFonts w:asciiTheme="minorHAnsi" w:hAnsiTheme="minorHAnsi" w:cstheme="minorHAnsi"/>
        </w:rPr>
        <w:t>.  A person with latent TB infection:</w:t>
      </w:r>
    </w:p>
    <w:p w14:paraId="6074B32F" w14:textId="77777777" w:rsidR="00381896" w:rsidRPr="004E42E8" w:rsidRDefault="00381896" w:rsidP="001274BD">
      <w:pPr>
        <w:jc w:val="both"/>
        <w:rPr>
          <w:rFonts w:asciiTheme="minorHAnsi" w:hAnsiTheme="minorHAnsi" w:cstheme="minorHAnsi"/>
        </w:rPr>
      </w:pPr>
    </w:p>
    <w:p w14:paraId="1D8CFCE7" w14:textId="014B40D3" w:rsidR="00381896" w:rsidRPr="004E42E8" w:rsidRDefault="00381896" w:rsidP="001274BD">
      <w:pPr>
        <w:jc w:val="both"/>
        <w:rPr>
          <w:rFonts w:asciiTheme="minorHAnsi" w:hAnsiTheme="minorHAnsi" w:cstheme="minorHAnsi"/>
        </w:rPr>
      </w:pPr>
      <w:r w:rsidRPr="004E42E8">
        <w:rPr>
          <w:rFonts w:asciiTheme="minorHAnsi" w:hAnsiTheme="minorHAnsi" w:cstheme="minorHAnsi"/>
        </w:rPr>
        <w:t xml:space="preserve">  *Usually has a skin test or blood test IGRA indicating TB infection</w:t>
      </w:r>
    </w:p>
    <w:p w14:paraId="3F028B03" w14:textId="09CD9530" w:rsidR="00381896" w:rsidRPr="004E42E8" w:rsidRDefault="00381896" w:rsidP="001274BD">
      <w:pPr>
        <w:jc w:val="both"/>
        <w:rPr>
          <w:rFonts w:asciiTheme="minorHAnsi" w:hAnsiTheme="minorHAnsi" w:cstheme="minorHAnsi"/>
        </w:rPr>
      </w:pPr>
      <w:r w:rsidRPr="004E42E8">
        <w:rPr>
          <w:rFonts w:asciiTheme="minorHAnsi" w:hAnsiTheme="minorHAnsi" w:cstheme="minorHAnsi"/>
        </w:rPr>
        <w:t xml:space="preserve">  *Has a normal chest x-ray and a negative sputum test</w:t>
      </w:r>
    </w:p>
    <w:p w14:paraId="2EE10D7B" w14:textId="780AEADC" w:rsidR="00381896" w:rsidRPr="004E42E8" w:rsidRDefault="00381896" w:rsidP="001274BD">
      <w:pPr>
        <w:jc w:val="both"/>
        <w:rPr>
          <w:rFonts w:asciiTheme="minorHAnsi" w:hAnsiTheme="minorHAnsi" w:cstheme="minorHAnsi"/>
        </w:rPr>
      </w:pPr>
      <w:r w:rsidRPr="004E42E8">
        <w:rPr>
          <w:rFonts w:asciiTheme="minorHAnsi" w:hAnsiTheme="minorHAnsi" w:cstheme="minorHAnsi"/>
        </w:rPr>
        <w:t xml:space="preserve">  *Has TB bacteria in his/her body that are alive, but inactive</w:t>
      </w:r>
    </w:p>
    <w:p w14:paraId="55E1037D" w14:textId="44B74ACE" w:rsidR="00381896" w:rsidRPr="004E42E8" w:rsidRDefault="00381896" w:rsidP="001274BD">
      <w:pPr>
        <w:jc w:val="both"/>
        <w:rPr>
          <w:rFonts w:asciiTheme="minorHAnsi" w:hAnsiTheme="minorHAnsi" w:cstheme="minorHAnsi"/>
        </w:rPr>
      </w:pPr>
      <w:r w:rsidRPr="004E42E8">
        <w:rPr>
          <w:rFonts w:asciiTheme="minorHAnsi" w:hAnsiTheme="minorHAnsi" w:cstheme="minorHAnsi"/>
        </w:rPr>
        <w:t xml:space="preserve">  *Does not feel sick</w:t>
      </w:r>
    </w:p>
    <w:p w14:paraId="46BDA89D" w14:textId="2A68B33A" w:rsidR="00381896" w:rsidRPr="004E42E8" w:rsidRDefault="00381896" w:rsidP="001274BD">
      <w:pPr>
        <w:jc w:val="both"/>
        <w:rPr>
          <w:rFonts w:asciiTheme="minorHAnsi" w:hAnsiTheme="minorHAnsi" w:cstheme="minorHAnsi"/>
        </w:rPr>
      </w:pPr>
      <w:r w:rsidRPr="004E42E8">
        <w:rPr>
          <w:rFonts w:asciiTheme="minorHAnsi" w:hAnsiTheme="minorHAnsi" w:cstheme="minorHAnsi"/>
        </w:rPr>
        <w:t xml:space="preserve">  *Cannot spread TB bacteria to others</w:t>
      </w:r>
    </w:p>
    <w:p w14:paraId="0DB07211" w14:textId="6B9ADD25" w:rsidR="00381896" w:rsidRPr="004E42E8" w:rsidRDefault="00381896" w:rsidP="001274BD">
      <w:pPr>
        <w:jc w:val="both"/>
        <w:rPr>
          <w:rFonts w:asciiTheme="minorHAnsi" w:hAnsiTheme="minorHAnsi" w:cstheme="minorHAnsi"/>
        </w:rPr>
      </w:pPr>
      <w:r w:rsidRPr="004E42E8">
        <w:rPr>
          <w:rFonts w:asciiTheme="minorHAnsi" w:hAnsiTheme="minorHAnsi" w:cstheme="minorHAnsi"/>
        </w:rPr>
        <w:t xml:space="preserve">  *Needs treatment for latent TB infection to prevent TB disease</w:t>
      </w:r>
    </w:p>
    <w:p w14:paraId="2F22CE0D" w14:textId="65479B11" w:rsidR="00381896" w:rsidRPr="004E42E8" w:rsidRDefault="00381896" w:rsidP="001274BD">
      <w:pPr>
        <w:jc w:val="both"/>
        <w:rPr>
          <w:rFonts w:asciiTheme="minorHAnsi" w:hAnsiTheme="minorHAnsi" w:cstheme="minorHAnsi"/>
        </w:rPr>
      </w:pPr>
    </w:p>
    <w:p w14:paraId="0714CCEC" w14:textId="4B49E5FA" w:rsidR="00381896" w:rsidRPr="004E42E8" w:rsidRDefault="00381896" w:rsidP="001274BD">
      <w:pPr>
        <w:jc w:val="both"/>
        <w:rPr>
          <w:rFonts w:asciiTheme="minorHAnsi" w:hAnsiTheme="minorHAnsi" w:cstheme="minorHAnsi"/>
          <w:b/>
          <w:bCs/>
        </w:rPr>
      </w:pPr>
      <w:r w:rsidRPr="004E42E8">
        <w:rPr>
          <w:rFonts w:asciiTheme="minorHAnsi" w:hAnsiTheme="minorHAnsi" w:cstheme="minorHAnsi"/>
          <w:b/>
          <w:bCs/>
        </w:rPr>
        <w:t>TB Disease</w:t>
      </w:r>
    </w:p>
    <w:p w14:paraId="6D088A0D" w14:textId="7BA4F394" w:rsidR="00381896" w:rsidRPr="004E42E8" w:rsidRDefault="00381896" w:rsidP="001274BD">
      <w:pPr>
        <w:jc w:val="both"/>
        <w:rPr>
          <w:rFonts w:asciiTheme="minorHAnsi" w:hAnsiTheme="minorHAnsi" w:cstheme="minorHAnsi"/>
          <w:b/>
          <w:bCs/>
        </w:rPr>
      </w:pPr>
    </w:p>
    <w:p w14:paraId="1DB267A2" w14:textId="77777777" w:rsidR="00D4267A" w:rsidRDefault="00381896" w:rsidP="00D4267A">
      <w:pPr>
        <w:jc w:val="both"/>
        <w:rPr>
          <w:rFonts w:asciiTheme="minorHAnsi" w:hAnsiTheme="minorHAnsi" w:cstheme="minorHAnsi"/>
        </w:rPr>
      </w:pPr>
      <w:r w:rsidRPr="004E42E8">
        <w:rPr>
          <w:rFonts w:asciiTheme="minorHAnsi" w:hAnsiTheme="minorHAnsi" w:cstheme="minorHAnsi"/>
        </w:rPr>
        <w:t xml:space="preserve">In some people, TB bacteria overcome the defenses of the immune system and begin to multiply, resulting in the progression from latent TB infection to TB disease. Some people develop TB disease soon after infection, while others develop TB disease later when their immune system becomes weak. </w:t>
      </w:r>
    </w:p>
    <w:p w14:paraId="54F2F6FD" w14:textId="77777777" w:rsidR="00D4267A" w:rsidRDefault="00D4267A" w:rsidP="00D4267A">
      <w:pPr>
        <w:jc w:val="both"/>
        <w:rPr>
          <w:rFonts w:asciiTheme="minorHAnsi" w:hAnsiTheme="minorHAnsi" w:cstheme="minorHAnsi"/>
        </w:rPr>
      </w:pPr>
    </w:p>
    <w:p w14:paraId="6404591D" w14:textId="603E6699" w:rsidR="00381896" w:rsidRPr="004E42E8" w:rsidRDefault="00381896" w:rsidP="00D4267A">
      <w:pPr>
        <w:jc w:val="both"/>
        <w:rPr>
          <w:rFonts w:asciiTheme="minorHAnsi" w:hAnsiTheme="minorHAnsi" w:cstheme="minorHAnsi"/>
        </w:rPr>
      </w:pPr>
      <w:r w:rsidRPr="004E42E8">
        <w:rPr>
          <w:rFonts w:asciiTheme="minorHAnsi" w:hAnsiTheme="minorHAnsi" w:cstheme="minorHAnsi"/>
        </w:rPr>
        <w:lastRenderedPageBreak/>
        <w:t>The general symptoms of TB disease include</w:t>
      </w:r>
      <w:r w:rsidR="00D4267A">
        <w:rPr>
          <w:rFonts w:asciiTheme="minorHAnsi" w:hAnsiTheme="minorHAnsi" w:cstheme="minorHAnsi"/>
        </w:rPr>
        <w:t xml:space="preserve"> u</w:t>
      </w:r>
      <w:r w:rsidRPr="004E42E8">
        <w:rPr>
          <w:rFonts w:asciiTheme="minorHAnsi" w:hAnsiTheme="minorHAnsi" w:cstheme="minorHAnsi"/>
        </w:rPr>
        <w:t>nexplained weight loss</w:t>
      </w:r>
      <w:r w:rsidR="00D4267A">
        <w:rPr>
          <w:rFonts w:asciiTheme="minorHAnsi" w:hAnsiTheme="minorHAnsi" w:cstheme="minorHAnsi"/>
        </w:rPr>
        <w:t>, night sweats, fever/chills, l</w:t>
      </w:r>
      <w:r w:rsidRPr="004E42E8">
        <w:rPr>
          <w:rFonts w:asciiTheme="minorHAnsi" w:hAnsiTheme="minorHAnsi" w:cstheme="minorHAnsi"/>
        </w:rPr>
        <w:t>oss of appetite</w:t>
      </w:r>
      <w:r w:rsidR="00D4267A">
        <w:rPr>
          <w:rFonts w:asciiTheme="minorHAnsi" w:hAnsiTheme="minorHAnsi" w:cstheme="minorHAnsi"/>
        </w:rPr>
        <w:t xml:space="preserve"> and f</w:t>
      </w:r>
      <w:r w:rsidRPr="004E42E8">
        <w:rPr>
          <w:rFonts w:asciiTheme="minorHAnsi" w:hAnsiTheme="minorHAnsi" w:cstheme="minorHAnsi"/>
        </w:rPr>
        <w:t>atigue</w:t>
      </w:r>
      <w:r w:rsidR="00D4267A">
        <w:rPr>
          <w:rFonts w:asciiTheme="minorHAnsi" w:hAnsiTheme="minorHAnsi" w:cstheme="minorHAnsi"/>
        </w:rPr>
        <w:t>.  If the lungs are involved, symptoms often include c</w:t>
      </w:r>
      <w:r w:rsidRPr="004E42E8">
        <w:rPr>
          <w:rFonts w:asciiTheme="minorHAnsi" w:hAnsiTheme="minorHAnsi" w:cstheme="minorHAnsi"/>
        </w:rPr>
        <w:t>ough</w:t>
      </w:r>
      <w:r w:rsidR="00D4267A">
        <w:rPr>
          <w:rFonts w:asciiTheme="minorHAnsi" w:hAnsiTheme="minorHAnsi" w:cstheme="minorHAnsi"/>
        </w:rPr>
        <w:t xml:space="preserve"> (</w:t>
      </w:r>
      <w:r w:rsidRPr="004E42E8">
        <w:rPr>
          <w:rFonts w:asciiTheme="minorHAnsi" w:hAnsiTheme="minorHAnsi" w:cstheme="minorHAnsi"/>
        </w:rPr>
        <w:t>for 3 weeks or longer</w:t>
      </w:r>
      <w:r w:rsidR="00D4267A">
        <w:rPr>
          <w:rFonts w:asciiTheme="minorHAnsi" w:hAnsiTheme="minorHAnsi" w:cstheme="minorHAnsi"/>
        </w:rPr>
        <w:t>), h</w:t>
      </w:r>
      <w:r w:rsidRPr="004E42E8">
        <w:rPr>
          <w:rFonts w:asciiTheme="minorHAnsi" w:hAnsiTheme="minorHAnsi" w:cstheme="minorHAnsi"/>
        </w:rPr>
        <w:t>emoptysis</w:t>
      </w:r>
      <w:r w:rsidR="00D4267A">
        <w:rPr>
          <w:rFonts w:asciiTheme="minorHAnsi" w:hAnsiTheme="minorHAnsi" w:cstheme="minorHAnsi"/>
        </w:rPr>
        <w:t xml:space="preserve"> and c</w:t>
      </w:r>
      <w:r w:rsidRPr="004E42E8">
        <w:rPr>
          <w:rFonts w:asciiTheme="minorHAnsi" w:hAnsiTheme="minorHAnsi" w:cstheme="minorHAnsi"/>
        </w:rPr>
        <w:t>hest pain</w:t>
      </w:r>
      <w:r w:rsidR="00D4267A">
        <w:rPr>
          <w:rFonts w:asciiTheme="minorHAnsi" w:hAnsiTheme="minorHAnsi" w:cstheme="minorHAnsi"/>
        </w:rPr>
        <w:t xml:space="preserve">. </w:t>
      </w:r>
    </w:p>
    <w:p w14:paraId="24D218FD" w14:textId="54311CCE" w:rsidR="0021094D" w:rsidRPr="004E42E8" w:rsidRDefault="0021094D" w:rsidP="001274BD">
      <w:pPr>
        <w:jc w:val="both"/>
        <w:rPr>
          <w:rFonts w:asciiTheme="minorHAnsi" w:hAnsiTheme="minorHAnsi" w:cstheme="minorHAnsi"/>
          <w:b/>
          <w:bCs/>
        </w:rPr>
      </w:pPr>
    </w:p>
    <w:p w14:paraId="7B2AE4F9" w14:textId="5A60C6B6" w:rsidR="009A18BE" w:rsidRPr="004E42E8" w:rsidRDefault="009A18BE" w:rsidP="001274BD">
      <w:pPr>
        <w:jc w:val="both"/>
        <w:rPr>
          <w:rFonts w:asciiTheme="minorHAnsi" w:hAnsiTheme="minorHAnsi" w:cstheme="minorHAnsi"/>
          <w:b/>
          <w:bCs/>
        </w:rPr>
      </w:pPr>
    </w:p>
    <w:p w14:paraId="4DB40B1C" w14:textId="62190610" w:rsidR="009A18BE" w:rsidRPr="004E42E8" w:rsidRDefault="009A18BE" w:rsidP="001274BD">
      <w:pPr>
        <w:jc w:val="both"/>
        <w:rPr>
          <w:rFonts w:asciiTheme="minorHAnsi" w:hAnsiTheme="minorHAnsi" w:cstheme="minorHAnsi"/>
          <w:b/>
          <w:bCs/>
        </w:rPr>
      </w:pPr>
      <w:r w:rsidRPr="004E42E8">
        <w:rPr>
          <w:rFonts w:asciiTheme="minorHAnsi" w:hAnsiTheme="minorHAnsi" w:cstheme="minorHAnsi"/>
          <w:b/>
          <w:bCs/>
        </w:rPr>
        <w:t>Actions Requested</w:t>
      </w:r>
    </w:p>
    <w:p w14:paraId="750A74C4" w14:textId="47F735B6" w:rsidR="00A14EA3" w:rsidRPr="004E42E8" w:rsidRDefault="00A14EA3" w:rsidP="001274BD">
      <w:pPr>
        <w:jc w:val="both"/>
        <w:rPr>
          <w:rFonts w:asciiTheme="minorHAnsi" w:hAnsiTheme="minorHAnsi" w:cstheme="minorHAnsi"/>
          <w:b/>
          <w:bCs/>
        </w:rPr>
      </w:pPr>
    </w:p>
    <w:p w14:paraId="71D46573" w14:textId="36FFDB1B" w:rsidR="00A14EA3" w:rsidRPr="004E42E8" w:rsidRDefault="00A14EA3" w:rsidP="00A14EA3">
      <w:pPr>
        <w:pStyle w:val="ListParagraph"/>
        <w:numPr>
          <w:ilvl w:val="0"/>
          <w:numId w:val="2"/>
        </w:numPr>
        <w:jc w:val="both"/>
        <w:rPr>
          <w:rFonts w:asciiTheme="minorHAnsi" w:hAnsiTheme="minorHAnsi" w:cstheme="minorHAnsi"/>
          <w:b/>
          <w:bCs/>
        </w:rPr>
      </w:pPr>
      <w:r w:rsidRPr="004E42E8">
        <w:rPr>
          <w:rFonts w:asciiTheme="minorHAnsi" w:hAnsiTheme="minorHAnsi" w:cstheme="minorHAnsi"/>
          <w:b/>
          <w:bCs/>
        </w:rPr>
        <w:t xml:space="preserve"> Identify patients at risk for TB infection</w:t>
      </w:r>
      <w:r w:rsidR="00B9190E">
        <w:rPr>
          <w:rFonts w:asciiTheme="minorHAnsi" w:hAnsiTheme="minorHAnsi" w:cstheme="minorHAnsi"/>
          <w:b/>
          <w:bCs/>
        </w:rPr>
        <w:t>:</w:t>
      </w:r>
      <w:r w:rsidR="00D4267A">
        <w:rPr>
          <w:rFonts w:asciiTheme="minorHAnsi" w:hAnsiTheme="minorHAnsi" w:cstheme="minorHAnsi"/>
          <w:b/>
          <w:bCs/>
        </w:rPr>
        <w:t xml:space="preserve"> </w:t>
      </w:r>
      <w:r w:rsidR="00B9190E" w:rsidRPr="00B9190E">
        <w:rPr>
          <w:rFonts w:asciiTheme="minorHAnsi" w:hAnsiTheme="minorHAnsi" w:cstheme="minorHAnsi"/>
        </w:rPr>
        <w:t>U</w:t>
      </w:r>
      <w:r w:rsidR="00D4267A" w:rsidRPr="00B9190E">
        <w:rPr>
          <w:rFonts w:asciiTheme="minorHAnsi" w:hAnsiTheme="minorHAnsi" w:cstheme="minorHAnsi"/>
        </w:rPr>
        <w:t>sing the Risk Assessment Tool</w:t>
      </w:r>
    </w:p>
    <w:p w14:paraId="3B419597" w14:textId="34AE8A53" w:rsidR="00B9190E" w:rsidRPr="00B9190E" w:rsidRDefault="00DE64D8" w:rsidP="004A70EB">
      <w:pPr>
        <w:ind w:left="720"/>
        <w:jc w:val="both"/>
        <w:rPr>
          <w:rFonts w:asciiTheme="minorHAnsi" w:hAnsiTheme="minorHAnsi" w:cstheme="minorHAnsi"/>
          <w:b/>
          <w:bCs/>
          <w:sz w:val="22"/>
          <w:szCs w:val="22"/>
        </w:rPr>
      </w:pPr>
      <w:hyperlink r:id="rId11" w:history="1">
        <w:r w:rsidR="00B9190E" w:rsidRPr="00B9190E">
          <w:rPr>
            <w:rStyle w:val="Hyperlink"/>
            <w:rFonts w:asciiTheme="minorHAnsi" w:hAnsiTheme="minorHAnsi" w:cstheme="minorHAnsi"/>
            <w:b/>
            <w:bCs/>
            <w:sz w:val="22"/>
            <w:szCs w:val="22"/>
          </w:rPr>
          <w:t>California Adult Tuberculosis Risk Assessment and User Guide</w:t>
        </w:r>
      </w:hyperlink>
    </w:p>
    <w:p w14:paraId="2C1C0D5A" w14:textId="49682433" w:rsidR="00A14EA3" w:rsidRPr="00B9190E" w:rsidRDefault="00B9190E" w:rsidP="004A70EB">
      <w:pPr>
        <w:ind w:left="720"/>
        <w:jc w:val="both"/>
        <w:rPr>
          <w:rFonts w:asciiTheme="minorHAnsi" w:hAnsiTheme="minorHAnsi" w:cstheme="minorHAnsi"/>
          <w:sz w:val="22"/>
          <w:szCs w:val="22"/>
        </w:rPr>
      </w:pPr>
      <w:r w:rsidRPr="00B9190E">
        <w:rPr>
          <w:rFonts w:asciiTheme="minorHAnsi" w:hAnsiTheme="minorHAnsi" w:cstheme="minorHAnsi"/>
          <w:sz w:val="22"/>
          <w:szCs w:val="22"/>
        </w:rPr>
        <w:t>(</w:t>
      </w:r>
      <w:hyperlink r:id="rId12" w:history="1">
        <w:r w:rsidRPr="00B9190E">
          <w:rPr>
            <w:rStyle w:val="Hyperlink"/>
            <w:rFonts w:asciiTheme="minorHAnsi" w:hAnsiTheme="minorHAnsi" w:cstheme="minorHAnsi"/>
            <w:sz w:val="22"/>
            <w:szCs w:val="22"/>
          </w:rPr>
          <w:t>https://www.cdph.ca.gov/Programs/CID/DCDC/CDPH%20Document%20Library/TBCB-CA-TB-Risk-Assessment-and-Fact-Sheet.pdf</w:t>
        </w:r>
      </w:hyperlink>
      <w:r w:rsidRPr="00B9190E">
        <w:rPr>
          <w:rFonts w:asciiTheme="minorHAnsi" w:hAnsiTheme="minorHAnsi" w:cstheme="minorHAnsi"/>
          <w:sz w:val="22"/>
          <w:szCs w:val="22"/>
        </w:rPr>
        <w:t>)</w:t>
      </w:r>
    </w:p>
    <w:p w14:paraId="1D82370E" w14:textId="77777777" w:rsidR="00A14EA3" w:rsidRPr="004E42E8" w:rsidRDefault="00A14EA3" w:rsidP="00A14EA3">
      <w:pPr>
        <w:jc w:val="both"/>
        <w:rPr>
          <w:rFonts w:asciiTheme="minorHAnsi" w:hAnsiTheme="minorHAnsi" w:cstheme="minorHAnsi"/>
          <w:b/>
          <w:bCs/>
        </w:rPr>
      </w:pPr>
    </w:p>
    <w:p w14:paraId="7A7A18FC" w14:textId="48BA4FF9" w:rsidR="00A14EA3" w:rsidRPr="00B9190E" w:rsidRDefault="00A14EA3" w:rsidP="004A70EB">
      <w:pPr>
        <w:pStyle w:val="ListParagraph"/>
        <w:numPr>
          <w:ilvl w:val="0"/>
          <w:numId w:val="2"/>
        </w:numPr>
        <w:contextualSpacing w:val="0"/>
        <w:jc w:val="both"/>
        <w:rPr>
          <w:rFonts w:asciiTheme="minorHAnsi" w:hAnsiTheme="minorHAnsi" w:cstheme="minorHAnsi"/>
        </w:rPr>
      </w:pPr>
      <w:r w:rsidRPr="004E42E8">
        <w:rPr>
          <w:rFonts w:asciiTheme="minorHAnsi" w:hAnsiTheme="minorHAnsi" w:cstheme="minorHAnsi"/>
          <w:b/>
          <w:bCs/>
        </w:rPr>
        <w:t>Test patients for TB infection</w:t>
      </w:r>
      <w:r w:rsidR="004A70EB">
        <w:rPr>
          <w:rFonts w:asciiTheme="minorHAnsi" w:hAnsiTheme="minorHAnsi" w:cstheme="minorHAnsi"/>
          <w:b/>
          <w:bCs/>
        </w:rPr>
        <w:t xml:space="preserve">: </w:t>
      </w:r>
      <w:r w:rsidR="004A70EB" w:rsidRPr="00B9190E">
        <w:rPr>
          <w:rFonts w:asciiTheme="minorHAnsi" w:hAnsiTheme="minorHAnsi" w:cstheme="minorHAnsi"/>
        </w:rPr>
        <w:t>TB Skin Test (TST) or Interferon-Gamma Release Assay (IGRA)</w:t>
      </w:r>
    </w:p>
    <w:p w14:paraId="2E9AE610" w14:textId="1AFBE1D5" w:rsidR="00D03040" w:rsidRPr="00B9190E" w:rsidRDefault="00DE64D8" w:rsidP="00D03040">
      <w:pPr>
        <w:pStyle w:val="ListParagraph"/>
        <w:contextualSpacing w:val="0"/>
        <w:rPr>
          <w:rFonts w:asciiTheme="minorHAnsi" w:hAnsiTheme="minorHAnsi" w:cstheme="minorHAnsi"/>
          <w:b/>
          <w:bCs/>
          <w:sz w:val="22"/>
          <w:szCs w:val="22"/>
        </w:rPr>
      </w:pPr>
      <w:hyperlink r:id="rId13" w:history="1">
        <w:r w:rsidR="00D03040" w:rsidRPr="00B9190E">
          <w:rPr>
            <w:rStyle w:val="Hyperlink"/>
            <w:rFonts w:asciiTheme="minorHAnsi" w:hAnsiTheme="minorHAnsi" w:cstheme="minorHAnsi"/>
            <w:b/>
            <w:bCs/>
            <w:sz w:val="22"/>
            <w:szCs w:val="22"/>
          </w:rPr>
          <w:t>Fact Sheets | Testing &amp; Diagnosis | Fact Sheet - Recommendations for Human Immunodeficiency... Clinics | TB | CDC</w:t>
        </w:r>
      </w:hyperlink>
    </w:p>
    <w:p w14:paraId="24599C80" w14:textId="4329BD5D" w:rsidR="004A70EB" w:rsidRPr="00B9190E" w:rsidRDefault="00D03040" w:rsidP="004A70EB">
      <w:pPr>
        <w:pStyle w:val="ListParagraph"/>
        <w:contextualSpacing w:val="0"/>
        <w:jc w:val="both"/>
        <w:rPr>
          <w:rFonts w:asciiTheme="minorHAnsi" w:hAnsiTheme="minorHAnsi" w:cstheme="minorHAnsi"/>
          <w:sz w:val="22"/>
          <w:szCs w:val="22"/>
        </w:rPr>
      </w:pPr>
      <w:r w:rsidRPr="00B9190E">
        <w:rPr>
          <w:rFonts w:asciiTheme="minorHAnsi" w:hAnsiTheme="minorHAnsi" w:cstheme="minorHAnsi"/>
          <w:sz w:val="22"/>
          <w:szCs w:val="22"/>
        </w:rPr>
        <w:t>(</w:t>
      </w:r>
      <w:hyperlink r:id="rId14" w:history="1">
        <w:r w:rsidRPr="00B9190E">
          <w:rPr>
            <w:rStyle w:val="Hyperlink"/>
            <w:rFonts w:asciiTheme="minorHAnsi" w:hAnsiTheme="minorHAnsi" w:cstheme="minorHAnsi"/>
            <w:sz w:val="22"/>
            <w:szCs w:val="22"/>
          </w:rPr>
          <w:t>https://www.cdc.gov/tb/publications/factsheets/testing/igra.htm</w:t>
        </w:r>
      </w:hyperlink>
      <w:r w:rsidRPr="00B9190E">
        <w:rPr>
          <w:rFonts w:asciiTheme="minorHAnsi" w:hAnsiTheme="minorHAnsi" w:cstheme="minorHAnsi"/>
          <w:sz w:val="22"/>
          <w:szCs w:val="22"/>
        </w:rPr>
        <w:t>)</w:t>
      </w:r>
    </w:p>
    <w:p w14:paraId="2583AA04" w14:textId="77777777" w:rsidR="004A70EB" w:rsidRPr="00B9190E" w:rsidRDefault="004A70EB" w:rsidP="004A70EB">
      <w:pPr>
        <w:shd w:val="clear" w:color="auto" w:fill="FFFFFF"/>
        <w:ind w:left="720"/>
        <w:rPr>
          <w:rFonts w:asciiTheme="minorHAnsi" w:hAnsiTheme="minorHAnsi" w:cstheme="minorHAnsi"/>
          <w:color w:val="000000"/>
          <w:sz w:val="22"/>
          <w:szCs w:val="22"/>
        </w:rPr>
      </w:pPr>
    </w:p>
    <w:p w14:paraId="66CAF17A" w14:textId="22CCCA90" w:rsidR="004A70EB" w:rsidRPr="00B9190E" w:rsidRDefault="004A70EB" w:rsidP="004A70EB">
      <w:pPr>
        <w:shd w:val="clear" w:color="auto" w:fill="FFFFFF"/>
        <w:ind w:left="720"/>
        <w:rPr>
          <w:rFonts w:asciiTheme="minorHAnsi" w:hAnsiTheme="minorHAnsi" w:cstheme="minorHAnsi"/>
          <w:color w:val="000000"/>
          <w:sz w:val="22"/>
          <w:szCs w:val="22"/>
        </w:rPr>
      </w:pPr>
      <w:r w:rsidRPr="00B9190E">
        <w:rPr>
          <w:rFonts w:asciiTheme="minorHAnsi" w:hAnsiTheme="minorHAnsi" w:cstheme="minorHAnsi"/>
          <w:color w:val="000000"/>
          <w:sz w:val="22"/>
          <w:szCs w:val="22"/>
        </w:rPr>
        <w:t>IGRAs are preferred for testing in:</w:t>
      </w:r>
    </w:p>
    <w:p w14:paraId="129EC0B2" w14:textId="77777777" w:rsidR="004A70EB" w:rsidRPr="00B9190E" w:rsidRDefault="004A70EB" w:rsidP="004A70EB">
      <w:pPr>
        <w:numPr>
          <w:ilvl w:val="1"/>
          <w:numId w:val="3"/>
        </w:numPr>
        <w:shd w:val="clear" w:color="auto" w:fill="FFFFFF"/>
        <w:rPr>
          <w:rFonts w:asciiTheme="minorHAnsi" w:hAnsiTheme="minorHAnsi" w:cstheme="minorHAnsi"/>
          <w:color w:val="000000"/>
          <w:sz w:val="22"/>
          <w:szCs w:val="22"/>
        </w:rPr>
      </w:pPr>
      <w:r w:rsidRPr="00B9190E">
        <w:rPr>
          <w:rFonts w:asciiTheme="minorHAnsi" w:hAnsiTheme="minorHAnsi" w:cstheme="minorHAnsi"/>
          <w:color w:val="000000"/>
          <w:sz w:val="22"/>
          <w:szCs w:val="22"/>
        </w:rPr>
        <w:t>Persons who have received BCG (either as a vaccine or for cancer therapy); and</w:t>
      </w:r>
    </w:p>
    <w:p w14:paraId="6F532B4D" w14:textId="77777777" w:rsidR="004A70EB" w:rsidRPr="00B9190E" w:rsidRDefault="004A70EB" w:rsidP="004A70EB">
      <w:pPr>
        <w:numPr>
          <w:ilvl w:val="1"/>
          <w:numId w:val="3"/>
        </w:numPr>
        <w:shd w:val="clear" w:color="auto" w:fill="FFFFFF"/>
        <w:rPr>
          <w:rFonts w:asciiTheme="minorHAnsi" w:hAnsiTheme="minorHAnsi" w:cstheme="minorHAnsi"/>
          <w:color w:val="000000"/>
          <w:sz w:val="22"/>
          <w:szCs w:val="22"/>
        </w:rPr>
      </w:pPr>
      <w:r w:rsidRPr="00B9190E">
        <w:rPr>
          <w:rFonts w:asciiTheme="minorHAnsi" w:hAnsiTheme="minorHAnsi" w:cstheme="minorHAnsi"/>
          <w:color w:val="000000"/>
          <w:sz w:val="22"/>
          <w:szCs w:val="22"/>
        </w:rPr>
        <w:t>Persons from groups that historically have poor rates of return for TST reading.</w:t>
      </w:r>
    </w:p>
    <w:p w14:paraId="64B1237A" w14:textId="77777777" w:rsidR="004A70EB" w:rsidRPr="00B9190E" w:rsidRDefault="004A70EB" w:rsidP="004A70EB">
      <w:pPr>
        <w:shd w:val="clear" w:color="auto" w:fill="FFFFFF"/>
        <w:ind w:left="720"/>
        <w:rPr>
          <w:rFonts w:asciiTheme="minorHAnsi" w:hAnsiTheme="minorHAnsi" w:cstheme="minorHAnsi"/>
          <w:color w:val="000000"/>
          <w:sz w:val="22"/>
          <w:szCs w:val="22"/>
        </w:rPr>
      </w:pPr>
      <w:r w:rsidRPr="00B9190E">
        <w:rPr>
          <w:rFonts w:asciiTheme="minorHAnsi" w:hAnsiTheme="minorHAnsi" w:cstheme="minorHAnsi"/>
          <w:color w:val="000000"/>
          <w:sz w:val="22"/>
          <w:szCs w:val="22"/>
        </w:rPr>
        <w:t>TST is preferred over IGRAs for testing children less than 5 years of age.</w:t>
      </w:r>
    </w:p>
    <w:p w14:paraId="51636546" w14:textId="77777777" w:rsidR="00A14EA3" w:rsidRPr="004E42E8" w:rsidRDefault="00A14EA3" w:rsidP="00A14EA3">
      <w:pPr>
        <w:pStyle w:val="ListParagraph"/>
        <w:rPr>
          <w:rFonts w:asciiTheme="minorHAnsi" w:hAnsiTheme="minorHAnsi" w:cstheme="minorHAnsi"/>
          <w:b/>
          <w:bCs/>
        </w:rPr>
      </w:pPr>
    </w:p>
    <w:p w14:paraId="6A9AD828" w14:textId="5A5CF1E4" w:rsidR="00A14EA3" w:rsidRPr="004E42E8" w:rsidRDefault="00A14EA3" w:rsidP="00A14EA3">
      <w:pPr>
        <w:pStyle w:val="ListParagraph"/>
        <w:numPr>
          <w:ilvl w:val="0"/>
          <w:numId w:val="2"/>
        </w:numPr>
        <w:jc w:val="both"/>
        <w:rPr>
          <w:rFonts w:asciiTheme="minorHAnsi" w:hAnsiTheme="minorHAnsi" w:cstheme="minorHAnsi"/>
          <w:b/>
          <w:bCs/>
        </w:rPr>
      </w:pPr>
      <w:r w:rsidRPr="004E42E8">
        <w:rPr>
          <w:rFonts w:asciiTheme="minorHAnsi" w:hAnsiTheme="minorHAnsi" w:cstheme="minorHAnsi"/>
          <w:b/>
          <w:bCs/>
        </w:rPr>
        <w:t>Evaluate</w:t>
      </w:r>
      <w:r w:rsidR="006C3E1C" w:rsidRPr="004E42E8">
        <w:rPr>
          <w:rFonts w:asciiTheme="minorHAnsi" w:hAnsiTheme="minorHAnsi" w:cstheme="minorHAnsi"/>
          <w:b/>
          <w:bCs/>
        </w:rPr>
        <w:t xml:space="preserve"> LTBI patients</w:t>
      </w:r>
      <w:r w:rsidRPr="004E42E8">
        <w:rPr>
          <w:rFonts w:asciiTheme="minorHAnsi" w:hAnsiTheme="minorHAnsi" w:cstheme="minorHAnsi"/>
          <w:b/>
          <w:bCs/>
        </w:rPr>
        <w:t xml:space="preserve"> for </w:t>
      </w:r>
      <w:r w:rsidR="004A70EB">
        <w:rPr>
          <w:rFonts w:asciiTheme="minorHAnsi" w:hAnsiTheme="minorHAnsi" w:cstheme="minorHAnsi"/>
          <w:b/>
          <w:bCs/>
        </w:rPr>
        <w:t xml:space="preserve">active </w:t>
      </w:r>
      <w:r w:rsidRPr="004E42E8">
        <w:rPr>
          <w:rFonts w:asciiTheme="minorHAnsi" w:hAnsiTheme="minorHAnsi" w:cstheme="minorHAnsi"/>
          <w:b/>
          <w:bCs/>
        </w:rPr>
        <w:t>TB disease</w:t>
      </w:r>
      <w:r w:rsidR="004A70EB">
        <w:rPr>
          <w:rFonts w:asciiTheme="minorHAnsi" w:hAnsiTheme="minorHAnsi" w:cstheme="minorHAnsi"/>
          <w:b/>
          <w:bCs/>
        </w:rPr>
        <w:t xml:space="preserve">: </w:t>
      </w:r>
      <w:r w:rsidR="004A70EB" w:rsidRPr="00B9190E">
        <w:rPr>
          <w:rFonts w:asciiTheme="minorHAnsi" w:hAnsiTheme="minorHAnsi" w:cstheme="minorHAnsi"/>
        </w:rPr>
        <w:t>chest x-ray, symptom screen and, if indicated, sputum for AFB smears, cultures and NAAT.</w:t>
      </w:r>
      <w:r w:rsidR="004A70EB">
        <w:rPr>
          <w:rFonts w:asciiTheme="minorHAnsi" w:hAnsiTheme="minorHAnsi" w:cstheme="minorHAnsi"/>
          <w:b/>
          <w:bCs/>
        </w:rPr>
        <w:t xml:space="preserve"> </w:t>
      </w:r>
    </w:p>
    <w:p w14:paraId="718F6122" w14:textId="61376AE3" w:rsidR="00A14EA3" w:rsidRPr="00B9190E" w:rsidRDefault="00DE64D8" w:rsidP="00B9190E">
      <w:pPr>
        <w:pStyle w:val="ListParagraph"/>
        <w:spacing w:after="120"/>
        <w:rPr>
          <w:rFonts w:asciiTheme="minorHAnsi" w:hAnsiTheme="minorHAnsi" w:cstheme="minorHAnsi"/>
          <w:b/>
          <w:bCs/>
          <w:sz w:val="22"/>
          <w:szCs w:val="22"/>
        </w:rPr>
      </w:pPr>
      <w:hyperlink r:id="rId15" w:history="1">
        <w:r w:rsidR="00D03040" w:rsidRPr="00B9190E">
          <w:rPr>
            <w:rStyle w:val="Hyperlink"/>
            <w:rFonts w:asciiTheme="minorHAnsi" w:hAnsiTheme="minorHAnsi" w:cstheme="minorHAnsi"/>
            <w:b/>
            <w:bCs/>
            <w:sz w:val="22"/>
            <w:szCs w:val="22"/>
          </w:rPr>
          <w:t>Prevent Tuberculosis (TB) in 4 Steps: A Guide for Medical Providers</w:t>
        </w:r>
      </w:hyperlink>
    </w:p>
    <w:p w14:paraId="260C7F67" w14:textId="4158AC1F" w:rsidR="00D03040" w:rsidRPr="00B9190E" w:rsidRDefault="00D03040" w:rsidP="00A14EA3">
      <w:pPr>
        <w:pStyle w:val="ListParagraph"/>
        <w:rPr>
          <w:rFonts w:asciiTheme="minorHAnsi" w:hAnsiTheme="minorHAnsi" w:cstheme="minorHAnsi"/>
          <w:sz w:val="22"/>
          <w:szCs w:val="22"/>
        </w:rPr>
      </w:pPr>
      <w:r w:rsidRPr="00B9190E">
        <w:rPr>
          <w:rFonts w:asciiTheme="minorHAnsi" w:hAnsiTheme="minorHAnsi" w:cstheme="minorHAnsi"/>
          <w:sz w:val="22"/>
          <w:szCs w:val="22"/>
        </w:rPr>
        <w:t>(</w:t>
      </w:r>
      <w:hyperlink r:id="rId16" w:history="1">
        <w:r w:rsidRPr="00B9190E">
          <w:rPr>
            <w:rStyle w:val="Hyperlink"/>
            <w:rFonts w:asciiTheme="minorHAnsi" w:hAnsiTheme="minorHAnsi" w:cstheme="minorHAnsi"/>
            <w:sz w:val="22"/>
            <w:szCs w:val="22"/>
          </w:rPr>
          <w:t>https://www.cdph.ca.gov/Programs/CID/DCDC/CDPH%20Document%20Library/PreventTBin4%20Steps_%20AGuideforMedicalProviders.pdf</w:t>
        </w:r>
      </w:hyperlink>
      <w:r w:rsidRPr="00B9190E">
        <w:rPr>
          <w:rFonts w:asciiTheme="minorHAnsi" w:hAnsiTheme="minorHAnsi" w:cstheme="minorHAnsi"/>
          <w:sz w:val="22"/>
          <w:szCs w:val="22"/>
        </w:rPr>
        <w:t>)</w:t>
      </w:r>
    </w:p>
    <w:p w14:paraId="1DB7C0EC" w14:textId="77777777" w:rsidR="00D03040" w:rsidRPr="004E42E8" w:rsidRDefault="00D03040" w:rsidP="00A14EA3">
      <w:pPr>
        <w:pStyle w:val="ListParagraph"/>
        <w:rPr>
          <w:rFonts w:asciiTheme="minorHAnsi" w:hAnsiTheme="minorHAnsi" w:cstheme="minorHAnsi"/>
          <w:b/>
          <w:bCs/>
        </w:rPr>
      </w:pPr>
    </w:p>
    <w:p w14:paraId="0BF282C4" w14:textId="2607C957" w:rsidR="00A14EA3" w:rsidRPr="00B9190E" w:rsidRDefault="00A14EA3" w:rsidP="00A14EA3">
      <w:pPr>
        <w:pStyle w:val="ListParagraph"/>
        <w:numPr>
          <w:ilvl w:val="0"/>
          <w:numId w:val="2"/>
        </w:numPr>
        <w:jc w:val="both"/>
        <w:rPr>
          <w:rFonts w:asciiTheme="minorHAnsi" w:hAnsiTheme="minorHAnsi" w:cstheme="minorHAnsi"/>
        </w:rPr>
      </w:pPr>
      <w:r w:rsidRPr="004E42E8">
        <w:rPr>
          <w:rFonts w:asciiTheme="minorHAnsi" w:hAnsiTheme="minorHAnsi" w:cstheme="minorHAnsi"/>
          <w:b/>
          <w:bCs/>
        </w:rPr>
        <w:t>Treat LTBI to prevent TB disease</w:t>
      </w:r>
      <w:r w:rsidR="004A70EB">
        <w:rPr>
          <w:rFonts w:asciiTheme="minorHAnsi" w:hAnsiTheme="minorHAnsi" w:cstheme="minorHAnsi"/>
          <w:b/>
          <w:bCs/>
        </w:rPr>
        <w:t xml:space="preserve">: </w:t>
      </w:r>
      <w:r w:rsidR="00D03040" w:rsidRPr="00B9190E">
        <w:rPr>
          <w:rFonts w:asciiTheme="minorHAnsi" w:hAnsiTheme="minorHAnsi" w:cstheme="minorHAnsi"/>
        </w:rPr>
        <w:t xml:space="preserve">Evaluate for pregnancy and relevant medical conditions; check baseline LFTs; and treat with 3- or 4-month LTBI regimen whenever possible. </w:t>
      </w:r>
    </w:p>
    <w:p w14:paraId="1F89465C" w14:textId="77777777" w:rsidR="00D03040" w:rsidRPr="00B9190E" w:rsidRDefault="00DE64D8" w:rsidP="00D03040">
      <w:pPr>
        <w:pStyle w:val="ListParagraph"/>
        <w:rPr>
          <w:rFonts w:asciiTheme="minorHAnsi" w:hAnsiTheme="minorHAnsi" w:cstheme="minorHAnsi"/>
          <w:b/>
          <w:bCs/>
          <w:sz w:val="22"/>
          <w:szCs w:val="22"/>
        </w:rPr>
      </w:pPr>
      <w:hyperlink r:id="rId17" w:history="1">
        <w:r w:rsidR="00D03040" w:rsidRPr="00B9190E">
          <w:rPr>
            <w:rStyle w:val="Hyperlink"/>
            <w:rFonts w:asciiTheme="minorHAnsi" w:hAnsiTheme="minorHAnsi" w:cstheme="minorHAnsi"/>
            <w:b/>
            <w:bCs/>
            <w:sz w:val="22"/>
            <w:szCs w:val="22"/>
          </w:rPr>
          <w:t>Prevent Tuberculosis (TB) in 4 Steps: A Guide for Medical Providers</w:t>
        </w:r>
      </w:hyperlink>
    </w:p>
    <w:p w14:paraId="705CFDED" w14:textId="77777777" w:rsidR="00D03040" w:rsidRPr="00B9190E" w:rsidRDefault="00D03040" w:rsidP="00D03040">
      <w:pPr>
        <w:pStyle w:val="ListParagraph"/>
        <w:rPr>
          <w:rFonts w:asciiTheme="minorHAnsi" w:hAnsiTheme="minorHAnsi" w:cstheme="minorHAnsi"/>
          <w:sz w:val="22"/>
          <w:szCs w:val="22"/>
        </w:rPr>
      </w:pPr>
      <w:r w:rsidRPr="00B9190E">
        <w:rPr>
          <w:rFonts w:asciiTheme="minorHAnsi" w:hAnsiTheme="minorHAnsi" w:cstheme="minorHAnsi"/>
          <w:sz w:val="22"/>
          <w:szCs w:val="22"/>
        </w:rPr>
        <w:t>(</w:t>
      </w:r>
      <w:hyperlink r:id="rId18" w:history="1">
        <w:r w:rsidRPr="00B9190E">
          <w:rPr>
            <w:rStyle w:val="Hyperlink"/>
            <w:rFonts w:asciiTheme="minorHAnsi" w:hAnsiTheme="minorHAnsi" w:cstheme="minorHAnsi"/>
            <w:sz w:val="22"/>
            <w:szCs w:val="22"/>
          </w:rPr>
          <w:t>https://www.cdph.ca.gov/Programs/CID/DCDC/CDPH%20Document%20Library/PreventTBin4%20Steps_%20AGuideforMedicalProviders.pdf</w:t>
        </w:r>
      </w:hyperlink>
      <w:r w:rsidRPr="00B9190E">
        <w:rPr>
          <w:rFonts w:asciiTheme="minorHAnsi" w:hAnsiTheme="minorHAnsi" w:cstheme="minorHAnsi"/>
          <w:sz w:val="22"/>
          <w:szCs w:val="22"/>
        </w:rPr>
        <w:t>)</w:t>
      </w:r>
    </w:p>
    <w:p w14:paraId="1180F486" w14:textId="5F65C8B6" w:rsidR="009A18BE" w:rsidRPr="004E42E8" w:rsidRDefault="009A18BE" w:rsidP="001274BD">
      <w:pPr>
        <w:jc w:val="both"/>
        <w:rPr>
          <w:rFonts w:asciiTheme="minorHAnsi" w:hAnsiTheme="minorHAnsi" w:cstheme="minorHAnsi"/>
          <w:b/>
          <w:bCs/>
        </w:rPr>
      </w:pPr>
    </w:p>
    <w:p w14:paraId="5ED1CFF9" w14:textId="77777777" w:rsidR="009A18BE" w:rsidRPr="004E42E8" w:rsidRDefault="009A18BE" w:rsidP="001274BD">
      <w:pPr>
        <w:jc w:val="both"/>
        <w:rPr>
          <w:rFonts w:asciiTheme="minorHAnsi" w:hAnsiTheme="minorHAnsi" w:cstheme="minorHAnsi"/>
          <w:b/>
          <w:bCs/>
        </w:rPr>
      </w:pPr>
    </w:p>
    <w:p w14:paraId="5819F98D" w14:textId="28E3050B" w:rsidR="00AA61EF" w:rsidRPr="004E42E8" w:rsidRDefault="00AA61EF" w:rsidP="001274BD">
      <w:pPr>
        <w:jc w:val="both"/>
        <w:rPr>
          <w:rFonts w:asciiTheme="minorHAnsi" w:hAnsiTheme="minorHAnsi" w:cstheme="minorHAnsi"/>
          <w:b/>
          <w:bCs/>
        </w:rPr>
      </w:pPr>
    </w:p>
    <w:p w14:paraId="28455016" w14:textId="3B63ACB7" w:rsidR="00AA61EF" w:rsidRPr="008A2C6A" w:rsidRDefault="008A2C6A" w:rsidP="001274BD">
      <w:pPr>
        <w:jc w:val="both"/>
        <w:rPr>
          <w:rFonts w:asciiTheme="minorHAnsi" w:hAnsiTheme="minorHAnsi" w:cstheme="minorHAnsi"/>
        </w:rPr>
      </w:pPr>
      <w:r w:rsidRPr="001D65F3">
        <w:rPr>
          <w:rFonts w:asciiTheme="minorHAnsi" w:hAnsiTheme="minorHAnsi" w:cstheme="minorHAnsi"/>
        </w:rPr>
        <w:t>If you have questions about this Health Update or managing LTBI patients, please contact:</w:t>
      </w:r>
      <w:r w:rsidR="001D65F3">
        <w:rPr>
          <w:rFonts w:asciiTheme="minorHAnsi" w:hAnsiTheme="minorHAnsi" w:cstheme="minorHAnsi"/>
        </w:rPr>
        <w:t xml:space="preserve"> Cindy Wood (cwood@co.shasta.ca.us) or Don Austria (daustria@co.shasta.ca.us).</w:t>
      </w:r>
    </w:p>
    <w:p w14:paraId="0A490603" w14:textId="77777777" w:rsidR="00567B96" w:rsidRPr="004E42E8" w:rsidRDefault="00567B96" w:rsidP="00E16720">
      <w:pPr>
        <w:jc w:val="both"/>
        <w:rPr>
          <w:rFonts w:asciiTheme="minorHAnsi" w:hAnsiTheme="minorHAnsi" w:cstheme="minorHAnsi"/>
          <w:sz w:val="22"/>
          <w:szCs w:val="22"/>
        </w:rPr>
      </w:pPr>
    </w:p>
    <w:p w14:paraId="50CDE712" w14:textId="77777777" w:rsidR="00E16720" w:rsidRPr="004E42E8" w:rsidRDefault="00E16720" w:rsidP="00E16720">
      <w:pPr>
        <w:jc w:val="both"/>
        <w:rPr>
          <w:rFonts w:asciiTheme="minorHAnsi" w:hAnsiTheme="minorHAnsi" w:cstheme="minorHAnsi"/>
          <w:sz w:val="22"/>
          <w:szCs w:val="22"/>
        </w:rPr>
      </w:pPr>
    </w:p>
    <w:p w14:paraId="06267D14" w14:textId="77777777" w:rsidR="00E16720" w:rsidRPr="004E42E8" w:rsidRDefault="00E16720" w:rsidP="00E16720">
      <w:pPr>
        <w:jc w:val="both"/>
        <w:rPr>
          <w:rFonts w:asciiTheme="minorHAnsi" w:hAnsiTheme="minorHAnsi" w:cstheme="minorHAnsi"/>
          <w:sz w:val="22"/>
          <w:szCs w:val="22"/>
        </w:rPr>
      </w:pPr>
    </w:p>
    <w:p w14:paraId="09F80400" w14:textId="77777777" w:rsidR="00E16720" w:rsidRPr="004E42E8" w:rsidRDefault="00E16720" w:rsidP="00E16720">
      <w:pPr>
        <w:jc w:val="both"/>
        <w:rPr>
          <w:rFonts w:asciiTheme="minorHAnsi" w:hAnsiTheme="minorHAnsi" w:cstheme="minorHAnsi"/>
        </w:rPr>
      </w:pPr>
    </w:p>
    <w:p w14:paraId="0ABE1BCA" w14:textId="77777777" w:rsidR="00AD3BFC" w:rsidRPr="004E42E8" w:rsidRDefault="00DE64D8">
      <w:pPr>
        <w:rPr>
          <w:rFonts w:asciiTheme="minorHAnsi" w:hAnsiTheme="minorHAnsi" w:cstheme="minorHAnsi"/>
        </w:rPr>
      </w:pPr>
    </w:p>
    <w:sectPr w:rsidR="00AD3BFC" w:rsidRPr="004E42E8" w:rsidSect="00FF445E">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07026" w14:textId="77777777" w:rsidR="00323D57" w:rsidRDefault="00567B96">
      <w:r>
        <w:separator/>
      </w:r>
    </w:p>
  </w:endnote>
  <w:endnote w:type="continuationSeparator" w:id="0">
    <w:p w14:paraId="78D3D14D" w14:textId="77777777" w:rsidR="00323D57" w:rsidRDefault="0056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F8C0" w14:textId="77777777" w:rsidR="00231545" w:rsidRDefault="00E16720" w:rsidP="00DC6335">
    <w:pPr>
      <w:keepLines/>
      <w:jc w:val="center"/>
      <w:rPr>
        <w:rFonts w:ascii="Cambria" w:hAnsi="Cambria"/>
        <w:sz w:val="20"/>
        <w:szCs w:val="20"/>
      </w:rPr>
    </w:pPr>
    <w:r>
      <w:rPr>
        <w:rFonts w:ascii="Cambria" w:hAnsi="Cambria"/>
        <w:noProof/>
        <w:kern w:val="16"/>
        <w:sz w:val="20"/>
        <w:szCs w:val="20"/>
      </w:rPr>
      <mc:AlternateContent>
        <mc:Choice Requires="wps">
          <w:drawing>
            <wp:anchor distT="36576" distB="36576" distL="36576" distR="36576" simplePos="0" relativeHeight="251659264" behindDoc="0" locked="0" layoutInCell="1" allowOverlap="1" wp14:anchorId="44C7AD63" wp14:editId="3B5388F4">
              <wp:simplePos x="0" y="0"/>
              <wp:positionH relativeFrom="column">
                <wp:posOffset>4071620</wp:posOffset>
              </wp:positionH>
              <wp:positionV relativeFrom="paragraph">
                <wp:posOffset>7261225</wp:posOffset>
              </wp:positionV>
              <wp:extent cx="3009900" cy="180975"/>
              <wp:effectExtent l="444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B9D841" w14:textId="77777777" w:rsidR="00B01693" w:rsidRDefault="00E16720">
                          <w:pPr>
                            <w:jc w:val="center"/>
                            <w:rPr>
                              <w:i/>
                              <w:iCs/>
                            </w:rPr>
                          </w:pPr>
                          <w:r>
                            <w:rPr>
                              <w:rFonts w:ascii="Arial" w:hAnsi="Arial" w:cs="Arial"/>
                              <w:i/>
                              <w:iCs/>
                              <w:sz w:val="14"/>
                              <w:szCs w:val="14"/>
                            </w:rPr>
                            <w:t>“Healthy people in thriving and safe communities”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7AD63" id="_x0000_t202" coordsize="21600,21600" o:spt="202" path="m,l,21600r21600,l21600,xe">
              <v:stroke joinstyle="miter"/>
              <v:path gradientshapeok="t" o:connecttype="rect"/>
            </v:shapetype>
            <v:shape id="Text Box 2" o:spid="_x0000_s1026" type="#_x0000_t202" style="position:absolute;left:0;text-align:left;margin-left:320.6pt;margin-top:571.75pt;width:237pt;height:14.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K8wEAANQDAAAOAAAAZHJzL2Uyb0RvYy54bWysU9tu2zAMfR+wfxD0vthJ0bQx4hRdiw4D&#10;unVAuw9gZDkWZosapcTOvn6U7GbZ9jbsRRAvOjyHpNY3Q9eKgyZv0JZyPsul0FZhZeyulF9fHt5d&#10;S+ED2ApatLqUR+3lzebtm3XvCr3ABttKk2AQ64velbIJwRVZ5lWjO/AzdNpysEbqILBJu6wi6Bm9&#10;a7NFni+zHqlyhEp7z977MSg3Cb+utQpPde11EG0pmVtIJ6VzG89ss4ZiR+AaoyYa8A8sOjCWi56g&#10;7iGA2JP5C6ozitBjHWYKuwzr2iidNLCaef6HmucGnE5auDnendrk/x+s+nz4QsJUpVxIYaHjEb3o&#10;IYj3OIhF7E7vfMFJz47TwsBunnJS6t0jqm9eWLxrwO70LRH2jYaK2c3jy+zs6YjjI8i2/4QVl4F9&#10;wAQ01NTF1nEzBKPzlI6nyUQqip0Xeb5a5RxSHJtf56ury1QCitfXjnz4oLET8VJK4skndDg8+hDZ&#10;QPGaEotZfDBtm6bf2t8cnDh6dFqf6XXUEumPQsKwHabebLE6sirCcbX4K/ClQfohRc9rVUr/fQ+k&#10;pWg/Wu7MxfLyasl7eG7QubE9N8AqhiplkGK83oVxd/eOzK7hSuMsLN5yN2uThEaqI6tpBrw6Sf+0&#10;5nE3z+2U9eszbn4CAAD//wMAUEsDBBQABgAIAAAAIQAtulwR4QAAAA4BAAAPAAAAZHJzL2Rvd25y&#10;ZXYueG1sTI/NTsMwEITvSLyDtUjcqOO0NSjEqfgRD0CLENzcZEksYjuNndbl6dmc4La7M5r9ptwk&#10;27MjjsF4p0AsMmDoat8Y1yp4273c3AELUbtG996hgjMG2FSXF6UuGn9yr3jcxpZRiAuFVtDFOBSc&#10;h7pDq8PCD+hI+/Kj1ZHWseXNqE8UbnueZ5nkVhtHHzo94FOH9fd2sgqe08chSSmX0/tZHn7M4/Qp&#10;DCp1fZUe7oFFTPHPDDM+oUNFTHs/uSawXoFciZysJIjVcg1stgixptt+nm7zDHhV8v81ql8AAAD/&#10;/wMAUEsBAi0AFAAGAAgAAAAhALaDOJL+AAAA4QEAABMAAAAAAAAAAAAAAAAAAAAAAFtDb250ZW50&#10;X1R5cGVzXS54bWxQSwECLQAUAAYACAAAACEAOP0h/9YAAACUAQAACwAAAAAAAAAAAAAAAAAvAQAA&#10;X3JlbHMvLnJlbHNQSwECLQAUAAYACAAAACEA06viivMBAADUAwAADgAAAAAAAAAAAAAAAAAuAgAA&#10;ZHJzL2Uyb0RvYy54bWxQSwECLQAUAAYACAAAACEALbpcEeEAAAAOAQAADwAAAAAAAAAAAAAAAABN&#10;BAAAZHJzL2Rvd25yZXYueG1sUEsFBgAAAAAEAAQA8wAAAFsFAAAAAA==&#10;" filled="f" stroked="f" insetpen="t">
              <v:textbox inset="2.88pt,2.88pt,2.88pt,2.88pt">
                <w:txbxContent>
                  <w:p w14:paraId="0EB9D841" w14:textId="77777777" w:rsidR="00B01693" w:rsidRDefault="00E16720">
                    <w:pPr>
                      <w:jc w:val="center"/>
                      <w:rPr>
                        <w:i/>
                        <w:iCs/>
                      </w:rPr>
                    </w:pPr>
                    <w:r>
                      <w:rPr>
                        <w:rFonts w:ascii="Arial" w:hAnsi="Arial" w:cs="Arial"/>
                        <w:i/>
                        <w:iCs/>
                        <w:sz w:val="14"/>
                        <w:szCs w:val="14"/>
                      </w:rPr>
                      <w:t>“Healthy people in thriving and safe communities”</w:t>
                    </w:r>
                  </w:p>
                </w:txbxContent>
              </v:textbox>
            </v:shape>
          </w:pict>
        </mc:Fallback>
      </mc:AlternateContent>
    </w:r>
    <w:r w:rsidRPr="00762245">
      <w:rPr>
        <w:rFonts w:ascii="Cambria" w:hAnsi="Cambria"/>
        <w:kern w:val="16"/>
        <w:sz w:val="20"/>
        <w:szCs w:val="20"/>
      </w:rPr>
      <w:t>“Engaging individuals, families and communities to protect and improve health and wellbeing.”</w:t>
    </w:r>
  </w:p>
  <w:p w14:paraId="123EA981" w14:textId="77777777" w:rsidR="00421AAA" w:rsidRDefault="008304FE" w:rsidP="00421AAA">
    <w:pPr>
      <w:keepLines/>
      <w:tabs>
        <w:tab w:val="left" w:pos="3083"/>
        <w:tab w:val="center" w:pos="4680"/>
      </w:tabs>
      <w:jc w:val="center"/>
      <w:rPr>
        <w:rFonts w:ascii="Cambria" w:hAnsi="Cambria"/>
        <w:i/>
        <w:sz w:val="20"/>
        <w:szCs w:val="20"/>
      </w:rPr>
    </w:pPr>
    <w:r>
      <w:rPr>
        <w:rFonts w:ascii="Cambria" w:hAnsi="Cambria"/>
        <w:i/>
        <w:sz w:val="20"/>
        <w:szCs w:val="20"/>
      </w:rPr>
      <w:t>Robin Schurig</w:t>
    </w:r>
    <w:r w:rsidR="00DF0460">
      <w:rPr>
        <w:rFonts w:ascii="Cambria" w:hAnsi="Cambria"/>
        <w:i/>
        <w:sz w:val="20"/>
        <w:szCs w:val="20"/>
      </w:rPr>
      <w:t xml:space="preserve">, MPH, CPH </w:t>
    </w:r>
    <w:r w:rsidR="00421AAA" w:rsidRPr="00745022">
      <w:rPr>
        <w:rFonts w:ascii="Cambria" w:hAnsi="Cambria"/>
        <w:i/>
        <w:sz w:val="20"/>
        <w:szCs w:val="20"/>
      </w:rPr>
      <w:t>Branch Director</w:t>
    </w:r>
  </w:p>
  <w:p w14:paraId="08F985D8" w14:textId="77777777" w:rsidR="00DC6335" w:rsidRDefault="00E16720" w:rsidP="00DC6335">
    <w:pPr>
      <w:keepLines/>
      <w:tabs>
        <w:tab w:val="left" w:pos="3083"/>
        <w:tab w:val="center" w:pos="4680"/>
      </w:tabs>
      <w:jc w:val="center"/>
      <w:rPr>
        <w:rFonts w:ascii="Cambria" w:hAnsi="Cambria"/>
        <w:i/>
        <w:sz w:val="20"/>
        <w:szCs w:val="20"/>
      </w:rPr>
    </w:pPr>
    <w:r w:rsidRPr="00DC6335">
      <w:rPr>
        <w:rFonts w:ascii="Cambria" w:hAnsi="Cambria"/>
        <w:i/>
        <w:sz w:val="20"/>
        <w:szCs w:val="20"/>
      </w:rPr>
      <w:t>Karen Ramstrom, DO, MSPH, Health Officer</w:t>
    </w:r>
  </w:p>
  <w:p w14:paraId="679069FC" w14:textId="77777777" w:rsidR="00B01693" w:rsidRPr="00231545" w:rsidRDefault="00E16720" w:rsidP="00DC6335">
    <w:pPr>
      <w:keepLines/>
      <w:tabs>
        <w:tab w:val="left" w:pos="3083"/>
        <w:tab w:val="center" w:pos="4680"/>
      </w:tabs>
      <w:jc w:val="center"/>
      <w:rPr>
        <w:rFonts w:ascii="Cambria" w:hAnsi="Cambria"/>
        <w:sz w:val="20"/>
        <w:szCs w:val="20"/>
      </w:rPr>
    </w:pPr>
    <w:r w:rsidRPr="00231545">
      <w:rPr>
        <w:rFonts w:ascii="Cambria" w:hAnsi="Cambria"/>
        <w:i/>
        <w:sz w:val="20"/>
        <w:szCs w:val="20"/>
      </w:rPr>
      <w:t>www.shastahhsa.net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8715A" w14:textId="77777777" w:rsidR="00323D57" w:rsidRDefault="00567B96">
      <w:r>
        <w:separator/>
      </w:r>
    </w:p>
  </w:footnote>
  <w:footnote w:type="continuationSeparator" w:id="0">
    <w:p w14:paraId="24FF538C" w14:textId="77777777" w:rsidR="00323D57" w:rsidRDefault="00567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5106A"/>
    <w:multiLevelType w:val="hybridMultilevel"/>
    <w:tmpl w:val="FD0AF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E24AD"/>
    <w:multiLevelType w:val="hybridMultilevel"/>
    <w:tmpl w:val="64F0CDE0"/>
    <w:lvl w:ilvl="0" w:tplc="CEDEAB8A">
      <w:numFmt w:val="bullet"/>
      <w:lvlText w:val=""/>
      <w:lvlJc w:val="left"/>
      <w:pPr>
        <w:ind w:left="465" w:hanging="360"/>
      </w:pPr>
      <w:rPr>
        <w:rFonts w:ascii="Symbol" w:eastAsia="Times New Roman"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735673CF"/>
    <w:multiLevelType w:val="multilevel"/>
    <w:tmpl w:val="245E7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88"/>
    <w:rsid w:val="00057187"/>
    <w:rsid w:val="001274BD"/>
    <w:rsid w:val="00167A52"/>
    <w:rsid w:val="001D5C08"/>
    <w:rsid w:val="001D65F3"/>
    <w:rsid w:val="0021094D"/>
    <w:rsid w:val="00284369"/>
    <w:rsid w:val="00323D57"/>
    <w:rsid w:val="00381896"/>
    <w:rsid w:val="00421AAA"/>
    <w:rsid w:val="00463FDA"/>
    <w:rsid w:val="00491F0E"/>
    <w:rsid w:val="004A70EB"/>
    <w:rsid w:val="004B15AB"/>
    <w:rsid w:val="004E42E8"/>
    <w:rsid w:val="00567B96"/>
    <w:rsid w:val="005D20FF"/>
    <w:rsid w:val="006005DD"/>
    <w:rsid w:val="00675B4B"/>
    <w:rsid w:val="006C3E1C"/>
    <w:rsid w:val="00702C31"/>
    <w:rsid w:val="00746AB9"/>
    <w:rsid w:val="007C1885"/>
    <w:rsid w:val="008304FE"/>
    <w:rsid w:val="008A2C6A"/>
    <w:rsid w:val="00957005"/>
    <w:rsid w:val="009A18BE"/>
    <w:rsid w:val="009E6279"/>
    <w:rsid w:val="00A14EA3"/>
    <w:rsid w:val="00A17B88"/>
    <w:rsid w:val="00AA61EF"/>
    <w:rsid w:val="00AE743E"/>
    <w:rsid w:val="00B9190E"/>
    <w:rsid w:val="00C422AC"/>
    <w:rsid w:val="00D03040"/>
    <w:rsid w:val="00D4267A"/>
    <w:rsid w:val="00DA2389"/>
    <w:rsid w:val="00DD4EF2"/>
    <w:rsid w:val="00DE64D8"/>
    <w:rsid w:val="00DF0460"/>
    <w:rsid w:val="00E16720"/>
    <w:rsid w:val="00E81EC1"/>
    <w:rsid w:val="00EF517C"/>
    <w:rsid w:val="00F93656"/>
    <w:rsid w:val="00FB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96986"/>
  <w15:chartTrackingRefBased/>
  <w15:docId w15:val="{AC97F3FE-35B9-4FAC-AFA3-C66204ED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7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6720"/>
    <w:rPr>
      <w:color w:val="0000FF"/>
      <w:u w:val="single"/>
    </w:rPr>
  </w:style>
  <w:style w:type="paragraph" w:styleId="Header">
    <w:name w:val="header"/>
    <w:basedOn w:val="Normal"/>
    <w:link w:val="HeaderChar"/>
    <w:uiPriority w:val="99"/>
    <w:unhideWhenUsed/>
    <w:rsid w:val="00421AAA"/>
    <w:pPr>
      <w:tabs>
        <w:tab w:val="center" w:pos="4680"/>
        <w:tab w:val="right" w:pos="9360"/>
      </w:tabs>
    </w:pPr>
  </w:style>
  <w:style w:type="character" w:customStyle="1" w:styleId="HeaderChar">
    <w:name w:val="Header Char"/>
    <w:basedOn w:val="DefaultParagraphFont"/>
    <w:link w:val="Header"/>
    <w:uiPriority w:val="99"/>
    <w:rsid w:val="00421A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1AAA"/>
    <w:pPr>
      <w:tabs>
        <w:tab w:val="center" w:pos="4680"/>
        <w:tab w:val="right" w:pos="9360"/>
      </w:tabs>
    </w:pPr>
  </w:style>
  <w:style w:type="character" w:customStyle="1" w:styleId="FooterChar">
    <w:name w:val="Footer Char"/>
    <w:basedOn w:val="DefaultParagraphFont"/>
    <w:link w:val="Footer"/>
    <w:uiPriority w:val="99"/>
    <w:rsid w:val="00421AAA"/>
    <w:rPr>
      <w:rFonts w:ascii="Times New Roman" w:eastAsia="Times New Roman" w:hAnsi="Times New Roman" w:cs="Times New Roman"/>
      <w:sz w:val="24"/>
      <w:szCs w:val="24"/>
    </w:rPr>
  </w:style>
  <w:style w:type="paragraph" w:styleId="ListParagraph">
    <w:name w:val="List Paragraph"/>
    <w:basedOn w:val="Normal"/>
    <w:uiPriority w:val="34"/>
    <w:qFormat/>
    <w:rsid w:val="00381896"/>
    <w:pPr>
      <w:ind w:left="720"/>
      <w:contextualSpacing/>
    </w:pPr>
  </w:style>
  <w:style w:type="character" w:styleId="UnresolvedMention">
    <w:name w:val="Unresolved Mention"/>
    <w:basedOn w:val="DefaultParagraphFont"/>
    <w:uiPriority w:val="99"/>
    <w:semiHidden/>
    <w:unhideWhenUsed/>
    <w:rsid w:val="00AA61EF"/>
    <w:rPr>
      <w:color w:val="605E5C"/>
      <w:shd w:val="clear" w:color="auto" w:fill="E1DFDD"/>
    </w:rPr>
  </w:style>
  <w:style w:type="character" w:styleId="FollowedHyperlink">
    <w:name w:val="FollowedHyperlink"/>
    <w:basedOn w:val="DefaultParagraphFont"/>
    <w:uiPriority w:val="99"/>
    <w:semiHidden/>
    <w:unhideWhenUsed/>
    <w:rsid w:val="00AA61EF"/>
    <w:rPr>
      <w:color w:val="954F72" w:themeColor="followedHyperlink"/>
      <w:u w:val="single"/>
    </w:rPr>
  </w:style>
  <w:style w:type="paragraph" w:styleId="BalloonText">
    <w:name w:val="Balloon Text"/>
    <w:basedOn w:val="Normal"/>
    <w:link w:val="BalloonTextChar"/>
    <w:uiPriority w:val="99"/>
    <w:semiHidden/>
    <w:unhideWhenUsed/>
    <w:rsid w:val="00746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46AB9"/>
    <w:rPr>
      <w:sz w:val="16"/>
      <w:szCs w:val="16"/>
    </w:rPr>
  </w:style>
  <w:style w:type="paragraph" w:styleId="CommentText">
    <w:name w:val="annotation text"/>
    <w:basedOn w:val="Normal"/>
    <w:link w:val="CommentTextChar"/>
    <w:uiPriority w:val="99"/>
    <w:semiHidden/>
    <w:unhideWhenUsed/>
    <w:rsid w:val="00746AB9"/>
    <w:rPr>
      <w:sz w:val="20"/>
      <w:szCs w:val="20"/>
    </w:rPr>
  </w:style>
  <w:style w:type="character" w:customStyle="1" w:styleId="CommentTextChar">
    <w:name w:val="Comment Text Char"/>
    <w:basedOn w:val="DefaultParagraphFont"/>
    <w:link w:val="CommentText"/>
    <w:uiPriority w:val="99"/>
    <w:semiHidden/>
    <w:rsid w:val="00746A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6AB9"/>
    <w:rPr>
      <w:b/>
      <w:bCs/>
    </w:rPr>
  </w:style>
  <w:style w:type="character" w:customStyle="1" w:styleId="CommentSubjectChar">
    <w:name w:val="Comment Subject Char"/>
    <w:basedOn w:val="CommentTextChar"/>
    <w:link w:val="CommentSubject"/>
    <w:uiPriority w:val="99"/>
    <w:semiHidden/>
    <w:rsid w:val="00746AB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56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dc.gov/tb/publications/factsheets/testing/igra.htm" TargetMode="External"/><Relationship Id="rId18" Type="http://schemas.openxmlformats.org/officeDocument/2006/relationships/hyperlink" Target="https://www.cdph.ca.gov/Programs/CID/DCDC/CDPH%20Document%20Library/PreventTBin4%20Steps_%20AGuideforMedicalProvider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ph.ca.gov/Programs/CID/DCDC/CDPH%20Document%20Library/TBCB-CA-TB-Risk-Assessment-and-Fact-Sheet.pdf" TargetMode="External"/><Relationship Id="rId17" Type="http://schemas.openxmlformats.org/officeDocument/2006/relationships/hyperlink" Target="https://www.cdph.ca.gov/Programs/CID/DCDC/CDPH%20Document%20Library/PreventTBin4%20Steps_%20AGuideforMedicalProviders.pdf" TargetMode="External"/><Relationship Id="rId2" Type="http://schemas.openxmlformats.org/officeDocument/2006/relationships/numbering" Target="numbering.xml"/><Relationship Id="rId16" Type="http://schemas.openxmlformats.org/officeDocument/2006/relationships/hyperlink" Target="https://www.cdph.ca.gov/Programs/CID/DCDC/CDPH%20Document%20Library/PreventTBin4%20Steps_%20AGuideforMedicalProvider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ph.ca.gov/Programs/CID/DCDC/CDPH%20Document%20Library/TBCB-CA-TB-Risk-Assessment-and-Fact-Sheet.pdf" TargetMode="External"/><Relationship Id="rId5" Type="http://schemas.openxmlformats.org/officeDocument/2006/relationships/webSettings" Target="webSettings.xml"/><Relationship Id="rId15" Type="http://schemas.openxmlformats.org/officeDocument/2006/relationships/hyperlink" Target="https://www.cdph.ca.gov/Programs/CID/DCDC/CDPH%20Document%20Library/PreventTBin4%20Steps_%20AGuideforMedicalProviders.pdf"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shasta.ca.us/index/hhsa/professionals/medical-professionals" TargetMode="External"/><Relationship Id="rId14" Type="http://schemas.openxmlformats.org/officeDocument/2006/relationships/hyperlink" Target="https://www.cdc.gov/tb/publications/factsheets/testing/ig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A65B3-4BD1-48E6-BDE1-F155E279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Ewing</dc:creator>
  <cp:keywords/>
  <dc:description/>
  <cp:lastModifiedBy>Alexandra Gee</cp:lastModifiedBy>
  <cp:revision>3</cp:revision>
  <cp:lastPrinted>2021-12-02T23:24:00Z</cp:lastPrinted>
  <dcterms:created xsi:type="dcterms:W3CDTF">2021-12-02T23:31:00Z</dcterms:created>
  <dcterms:modified xsi:type="dcterms:W3CDTF">2021-12-02T23:36:00Z</dcterms:modified>
</cp:coreProperties>
</file>