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18" w:rsidRPr="00176678" w:rsidRDefault="00060218" w:rsidP="00060218">
      <w:pPr>
        <w:spacing w:after="0" w:line="240" w:lineRule="auto"/>
        <w:jc w:val="both"/>
        <w:rPr>
          <w:b/>
          <w:sz w:val="24"/>
          <w:szCs w:val="24"/>
        </w:rPr>
      </w:pPr>
      <w:r>
        <w:rPr>
          <w:b/>
          <w:sz w:val="24"/>
          <w:szCs w:val="24"/>
        </w:rPr>
        <w:t>I.</w:t>
      </w:r>
      <w:r w:rsidRPr="00176678">
        <w:rPr>
          <w:b/>
          <w:sz w:val="24"/>
          <w:szCs w:val="24"/>
        </w:rPr>
        <w:t xml:space="preserve"> </w:t>
      </w:r>
      <w:r>
        <w:rPr>
          <w:b/>
          <w:sz w:val="24"/>
          <w:szCs w:val="24"/>
        </w:rPr>
        <w:t>2014-2015 Goals and Objectives</w:t>
      </w:r>
    </w:p>
    <w:p w:rsidR="00060218" w:rsidRPr="00176678" w:rsidRDefault="00060218" w:rsidP="00060218">
      <w:pPr>
        <w:pBdr>
          <w:top w:val="single" w:sz="4" w:space="1" w:color="auto"/>
        </w:pBdr>
        <w:spacing w:after="0" w:line="240" w:lineRule="auto"/>
        <w:jc w:val="both"/>
        <w:rPr>
          <w:b/>
          <w:sz w:val="24"/>
          <w:szCs w:val="24"/>
        </w:rPr>
      </w:pPr>
    </w:p>
    <w:p w:rsidR="008D44E4" w:rsidRDefault="008D44E4" w:rsidP="002E6E13">
      <w:pPr>
        <w:spacing w:after="0"/>
        <w:jc w:val="both"/>
        <w:rPr>
          <w:sz w:val="24"/>
          <w:szCs w:val="24"/>
        </w:rPr>
      </w:pPr>
    </w:p>
    <w:p w:rsidR="002E6E13" w:rsidRDefault="00E7379A" w:rsidP="002E6E13">
      <w:pPr>
        <w:spacing w:after="0"/>
        <w:jc w:val="both"/>
        <w:rPr>
          <w:sz w:val="24"/>
          <w:szCs w:val="24"/>
        </w:rPr>
      </w:pPr>
      <w:r>
        <w:rPr>
          <w:sz w:val="24"/>
          <w:szCs w:val="24"/>
        </w:rPr>
        <w:t>The following goals and obj</w:t>
      </w:r>
      <w:r w:rsidR="00ED4B1F">
        <w:rPr>
          <w:sz w:val="24"/>
          <w:szCs w:val="24"/>
        </w:rPr>
        <w:t>ectives are based upon the four</w:t>
      </w:r>
      <w:r>
        <w:rPr>
          <w:sz w:val="24"/>
          <w:szCs w:val="24"/>
        </w:rPr>
        <w:t xml:space="preserve"> D</w:t>
      </w:r>
      <w:r w:rsidR="00060218">
        <w:rPr>
          <w:sz w:val="24"/>
          <w:szCs w:val="24"/>
        </w:rPr>
        <w:t>HCS</w:t>
      </w:r>
      <w:r>
        <w:rPr>
          <w:sz w:val="24"/>
          <w:szCs w:val="24"/>
        </w:rPr>
        <w:t xml:space="preserve"> Managed Care contract requirements for quality improvement work plans: </w:t>
      </w:r>
    </w:p>
    <w:p w:rsidR="002322D1" w:rsidRDefault="002322D1" w:rsidP="002E6E13">
      <w:pPr>
        <w:spacing w:after="0"/>
        <w:jc w:val="both"/>
        <w:rPr>
          <w:sz w:val="24"/>
          <w:szCs w:val="24"/>
        </w:rPr>
      </w:pPr>
    </w:p>
    <w:p w:rsidR="002E6E13" w:rsidRPr="00545376" w:rsidRDefault="002E6E13" w:rsidP="002E6E13">
      <w:pPr>
        <w:pStyle w:val="ListParagraph"/>
        <w:numPr>
          <w:ilvl w:val="0"/>
          <w:numId w:val="32"/>
        </w:numPr>
        <w:spacing w:after="0"/>
        <w:jc w:val="both"/>
        <w:rPr>
          <w:b/>
          <w:sz w:val="24"/>
          <w:szCs w:val="24"/>
        </w:rPr>
      </w:pPr>
      <w:r w:rsidRPr="00545376">
        <w:rPr>
          <w:b/>
          <w:sz w:val="24"/>
          <w:szCs w:val="24"/>
        </w:rPr>
        <w:t>Accessibility of Services</w:t>
      </w:r>
    </w:p>
    <w:p w:rsidR="00D33FFC" w:rsidRDefault="00D33FFC" w:rsidP="00261CD9">
      <w:pPr>
        <w:spacing w:after="0"/>
        <w:ind w:left="720"/>
        <w:jc w:val="both"/>
        <w:rPr>
          <w:sz w:val="24"/>
          <w:szCs w:val="24"/>
        </w:rPr>
      </w:pPr>
      <w:r>
        <w:rPr>
          <w:sz w:val="24"/>
          <w:szCs w:val="24"/>
        </w:rPr>
        <w:t xml:space="preserve">The MHP is responsible for monitoring accessibility of services.  </w:t>
      </w:r>
      <w:r w:rsidRPr="00176678">
        <w:rPr>
          <w:sz w:val="24"/>
          <w:szCs w:val="24"/>
        </w:rPr>
        <w:t>In addition to meeting statewide standards, the MHP will set goals for timeliness of rout</w:t>
      </w:r>
      <w:r>
        <w:rPr>
          <w:sz w:val="24"/>
          <w:szCs w:val="24"/>
        </w:rPr>
        <w:t xml:space="preserve">ine mental health appointments and </w:t>
      </w:r>
      <w:r w:rsidRPr="00176678">
        <w:rPr>
          <w:sz w:val="24"/>
          <w:szCs w:val="24"/>
        </w:rPr>
        <w:t>urgent care conditions; access to afterhours care; and 24-hour responsiveness.</w:t>
      </w:r>
    </w:p>
    <w:p w:rsidR="00D33FFC" w:rsidRPr="00261CD9" w:rsidRDefault="00D33FFC" w:rsidP="00261CD9">
      <w:pPr>
        <w:spacing w:after="0"/>
        <w:ind w:left="720"/>
        <w:jc w:val="both"/>
        <w:rPr>
          <w:sz w:val="24"/>
          <w:szCs w:val="24"/>
        </w:rPr>
      </w:pPr>
    </w:p>
    <w:p w:rsidR="002E6E13" w:rsidRPr="00545376" w:rsidRDefault="002E6E13" w:rsidP="002E6E13">
      <w:pPr>
        <w:pStyle w:val="ListParagraph"/>
        <w:numPr>
          <w:ilvl w:val="0"/>
          <w:numId w:val="32"/>
        </w:numPr>
        <w:spacing w:after="0"/>
        <w:jc w:val="both"/>
        <w:rPr>
          <w:b/>
          <w:sz w:val="24"/>
          <w:szCs w:val="24"/>
        </w:rPr>
      </w:pPr>
      <w:r w:rsidRPr="00545376">
        <w:rPr>
          <w:b/>
          <w:sz w:val="24"/>
          <w:szCs w:val="24"/>
        </w:rPr>
        <w:t>Service Delivery Capacity</w:t>
      </w:r>
    </w:p>
    <w:p w:rsidR="002322D1" w:rsidRDefault="005E71D0" w:rsidP="002322D1">
      <w:pPr>
        <w:pStyle w:val="ListParagraph"/>
        <w:spacing w:after="0"/>
        <w:jc w:val="both"/>
        <w:rPr>
          <w:sz w:val="24"/>
          <w:szCs w:val="24"/>
        </w:rPr>
      </w:pPr>
      <w:r>
        <w:rPr>
          <w:sz w:val="24"/>
          <w:szCs w:val="24"/>
        </w:rPr>
        <w:t xml:space="preserve">The MHP is responsible for the monitoring of service delivery capacity.  The MHP will evaluate the distribution of mental health services </w:t>
      </w:r>
      <w:r w:rsidR="00773319">
        <w:rPr>
          <w:sz w:val="24"/>
          <w:szCs w:val="24"/>
        </w:rPr>
        <w:t xml:space="preserve">by type of service and geography of client </w:t>
      </w:r>
      <w:r>
        <w:rPr>
          <w:sz w:val="24"/>
          <w:szCs w:val="24"/>
        </w:rPr>
        <w:t>within its delivery system.</w:t>
      </w:r>
    </w:p>
    <w:p w:rsidR="005E71D0" w:rsidRDefault="005E71D0" w:rsidP="002322D1">
      <w:pPr>
        <w:pStyle w:val="ListParagraph"/>
        <w:spacing w:after="0"/>
        <w:jc w:val="both"/>
        <w:rPr>
          <w:sz w:val="24"/>
          <w:szCs w:val="24"/>
        </w:rPr>
      </w:pPr>
    </w:p>
    <w:p w:rsidR="005E71D0" w:rsidRDefault="005E71D0" w:rsidP="002322D1">
      <w:pPr>
        <w:pStyle w:val="ListParagraph"/>
        <w:spacing w:after="0"/>
        <w:jc w:val="both"/>
        <w:rPr>
          <w:sz w:val="24"/>
          <w:szCs w:val="24"/>
        </w:rPr>
      </w:pPr>
      <w:r>
        <w:rPr>
          <w:sz w:val="24"/>
          <w:szCs w:val="24"/>
        </w:rPr>
        <w:t>The MHP currently contracts with three youth organizational providers for Medi-Cal outpatient specialty mental health services.  The providers serve a specific catchment area to ensure all geographic areas of the County are provided service.</w:t>
      </w:r>
    </w:p>
    <w:p w:rsidR="005E71D0" w:rsidRDefault="005E71D0" w:rsidP="002322D1">
      <w:pPr>
        <w:pStyle w:val="ListParagraph"/>
        <w:spacing w:after="0"/>
        <w:jc w:val="both"/>
        <w:rPr>
          <w:sz w:val="24"/>
          <w:szCs w:val="24"/>
        </w:rPr>
      </w:pPr>
    </w:p>
    <w:p w:rsidR="005E71D0" w:rsidRDefault="005E71D0" w:rsidP="002322D1">
      <w:pPr>
        <w:pStyle w:val="ListParagraph"/>
        <w:spacing w:after="0"/>
        <w:jc w:val="both"/>
        <w:rPr>
          <w:sz w:val="24"/>
          <w:szCs w:val="24"/>
        </w:rPr>
      </w:pPr>
      <w:r>
        <w:rPr>
          <w:sz w:val="24"/>
          <w:szCs w:val="24"/>
        </w:rPr>
        <w:t>The MHP currently contracts with two providers for wellness center services (Round Mountain and Redding) to provide supportive assistance to individuals with mental health challenges.</w:t>
      </w:r>
    </w:p>
    <w:p w:rsidR="005E71D0" w:rsidRDefault="005E71D0" w:rsidP="002322D1">
      <w:pPr>
        <w:pStyle w:val="ListParagraph"/>
        <w:spacing w:after="0"/>
        <w:jc w:val="both"/>
        <w:rPr>
          <w:sz w:val="24"/>
          <w:szCs w:val="24"/>
        </w:rPr>
      </w:pPr>
    </w:p>
    <w:p w:rsidR="005E71D0" w:rsidRDefault="005E71D0" w:rsidP="002322D1">
      <w:pPr>
        <w:pStyle w:val="ListParagraph"/>
        <w:spacing w:after="0"/>
        <w:jc w:val="both"/>
        <w:rPr>
          <w:sz w:val="24"/>
          <w:szCs w:val="24"/>
        </w:rPr>
      </w:pPr>
      <w:r>
        <w:rPr>
          <w:sz w:val="24"/>
          <w:szCs w:val="24"/>
        </w:rPr>
        <w:t xml:space="preserve">The MHP contacts </w:t>
      </w:r>
      <w:r w:rsidR="00773319">
        <w:rPr>
          <w:sz w:val="24"/>
          <w:szCs w:val="24"/>
        </w:rPr>
        <w:t xml:space="preserve">with </w:t>
      </w:r>
      <w:r>
        <w:rPr>
          <w:sz w:val="24"/>
          <w:szCs w:val="24"/>
        </w:rPr>
        <w:t xml:space="preserve">all Federally Qualified Health Centers (FQHC’s) in Shasta County </w:t>
      </w:r>
      <w:r w:rsidR="00773319">
        <w:rPr>
          <w:sz w:val="24"/>
          <w:szCs w:val="24"/>
        </w:rPr>
        <w:t xml:space="preserve">for </w:t>
      </w:r>
      <w:r>
        <w:rPr>
          <w:sz w:val="24"/>
          <w:szCs w:val="24"/>
        </w:rPr>
        <w:t xml:space="preserve">services provided in Redding, Shasta Lake City, Anderson, Shingletown, Round Mountain, Burney and </w:t>
      </w:r>
      <w:r w:rsidR="00031FBF">
        <w:rPr>
          <w:sz w:val="24"/>
          <w:szCs w:val="24"/>
        </w:rPr>
        <w:t>Fall River Mills</w:t>
      </w:r>
      <w:r>
        <w:rPr>
          <w:sz w:val="24"/>
          <w:szCs w:val="24"/>
        </w:rPr>
        <w:t xml:space="preserve">.  For those clients that do not meet the MHP target population, the FQHC’s </w:t>
      </w:r>
      <w:r w:rsidR="00261CD9">
        <w:rPr>
          <w:sz w:val="24"/>
          <w:szCs w:val="24"/>
        </w:rPr>
        <w:t>provide primary and mental health care.</w:t>
      </w:r>
    </w:p>
    <w:p w:rsidR="005E71D0" w:rsidRPr="00261CD9" w:rsidRDefault="005E71D0" w:rsidP="002322D1">
      <w:pPr>
        <w:pStyle w:val="ListParagraph"/>
        <w:spacing w:after="0"/>
        <w:jc w:val="both"/>
        <w:rPr>
          <w:sz w:val="24"/>
          <w:szCs w:val="24"/>
        </w:rPr>
      </w:pPr>
    </w:p>
    <w:p w:rsidR="002E6E13" w:rsidRPr="00545376" w:rsidRDefault="002E6E13" w:rsidP="002E6E13">
      <w:pPr>
        <w:pStyle w:val="ListParagraph"/>
        <w:numPr>
          <w:ilvl w:val="0"/>
          <w:numId w:val="32"/>
        </w:numPr>
        <w:spacing w:after="0"/>
        <w:jc w:val="both"/>
        <w:rPr>
          <w:b/>
          <w:sz w:val="24"/>
          <w:szCs w:val="24"/>
        </w:rPr>
      </w:pPr>
      <w:r w:rsidRPr="00545376">
        <w:rPr>
          <w:b/>
          <w:sz w:val="24"/>
          <w:szCs w:val="24"/>
        </w:rPr>
        <w:t>Beneficiary Satisfaction</w:t>
      </w:r>
    </w:p>
    <w:p w:rsidR="00261CD9" w:rsidRPr="00176678" w:rsidRDefault="00261CD9" w:rsidP="00261CD9">
      <w:pPr>
        <w:spacing w:after="0"/>
        <w:ind w:left="720"/>
        <w:jc w:val="both"/>
        <w:rPr>
          <w:sz w:val="24"/>
          <w:szCs w:val="24"/>
        </w:rPr>
      </w:pPr>
      <w:r w:rsidRPr="00176678">
        <w:rPr>
          <w:sz w:val="24"/>
          <w:szCs w:val="24"/>
        </w:rPr>
        <w:t xml:space="preserve">The MHP in partnership with the Managed Care program and </w:t>
      </w:r>
      <w:r w:rsidR="00E448AE">
        <w:rPr>
          <w:sz w:val="24"/>
          <w:szCs w:val="24"/>
        </w:rPr>
        <w:t>QIC</w:t>
      </w:r>
      <w:r w:rsidRPr="00176678">
        <w:rPr>
          <w:sz w:val="24"/>
          <w:szCs w:val="24"/>
        </w:rPr>
        <w:t xml:space="preserve"> are responsible for monitoring beneficiary satisfaction and ensuring that beneficiaries are informed of their rights and the problem resolution process. The Managed Care program reports annually to D</w:t>
      </w:r>
      <w:r>
        <w:rPr>
          <w:sz w:val="24"/>
          <w:szCs w:val="24"/>
        </w:rPr>
        <w:t>HCS</w:t>
      </w:r>
      <w:r w:rsidRPr="00176678">
        <w:rPr>
          <w:sz w:val="24"/>
          <w:szCs w:val="24"/>
        </w:rPr>
        <w:t xml:space="preserve"> on all grievances and appeals and their outcomes. The findings are reported to the Q</w:t>
      </w:r>
      <w:r w:rsidR="00545376">
        <w:rPr>
          <w:sz w:val="24"/>
          <w:szCs w:val="24"/>
        </w:rPr>
        <w:t>IC</w:t>
      </w:r>
      <w:r w:rsidRPr="00176678">
        <w:rPr>
          <w:sz w:val="24"/>
          <w:szCs w:val="24"/>
        </w:rPr>
        <w:t xml:space="preserve"> for review and implementation of new or revised policies and procedures.</w:t>
      </w:r>
    </w:p>
    <w:p w:rsidR="002E6E13" w:rsidRPr="00545376" w:rsidRDefault="002E6E13" w:rsidP="002E6E13">
      <w:pPr>
        <w:pStyle w:val="ListParagraph"/>
        <w:numPr>
          <w:ilvl w:val="0"/>
          <w:numId w:val="32"/>
        </w:numPr>
        <w:spacing w:after="0"/>
        <w:jc w:val="both"/>
        <w:rPr>
          <w:b/>
          <w:sz w:val="24"/>
          <w:szCs w:val="24"/>
        </w:rPr>
      </w:pPr>
      <w:r w:rsidRPr="00545376">
        <w:rPr>
          <w:b/>
          <w:sz w:val="24"/>
          <w:szCs w:val="24"/>
        </w:rPr>
        <w:lastRenderedPageBreak/>
        <w:t>Service Delivery System and Meaningful Clinical Issues</w:t>
      </w:r>
    </w:p>
    <w:p w:rsidR="00261CD9" w:rsidRPr="00176678" w:rsidRDefault="00261CD9" w:rsidP="00261CD9">
      <w:pPr>
        <w:spacing w:after="0"/>
        <w:ind w:left="720"/>
        <w:jc w:val="both"/>
        <w:rPr>
          <w:sz w:val="24"/>
          <w:szCs w:val="24"/>
        </w:rPr>
      </w:pPr>
      <w:r w:rsidRPr="00176678">
        <w:rPr>
          <w:sz w:val="24"/>
          <w:szCs w:val="24"/>
        </w:rPr>
        <w:t>The MHP, in partnership with the Managed Care Program and Q</w:t>
      </w:r>
      <w:r w:rsidR="00545376">
        <w:rPr>
          <w:sz w:val="24"/>
          <w:szCs w:val="24"/>
        </w:rPr>
        <w:t>IC</w:t>
      </w:r>
      <w:r w:rsidRPr="00176678">
        <w:rPr>
          <w:sz w:val="24"/>
          <w:szCs w:val="24"/>
        </w:rPr>
        <w:t xml:space="preserve"> will monitor the service delivery system and meaningful clinical issues affecting beneficiaries, including the safety and effectiveness of medication practices. The MHP shall annually identify meaningful clinical issues that are relevant to it</w:t>
      </w:r>
      <w:r w:rsidR="00773319">
        <w:rPr>
          <w:sz w:val="24"/>
          <w:szCs w:val="24"/>
        </w:rPr>
        <w:t>s</w:t>
      </w:r>
      <w:r w:rsidRPr="00176678">
        <w:rPr>
          <w:sz w:val="24"/>
          <w:szCs w:val="24"/>
        </w:rPr>
        <w:t xml:space="preserve"> beneficiaries for assessment and evaluation.  </w:t>
      </w:r>
    </w:p>
    <w:p w:rsidR="00261CD9" w:rsidRPr="00176678" w:rsidRDefault="00261CD9" w:rsidP="00261CD9">
      <w:pPr>
        <w:spacing w:after="0"/>
        <w:jc w:val="both"/>
        <w:rPr>
          <w:sz w:val="24"/>
          <w:szCs w:val="24"/>
        </w:rPr>
      </w:pPr>
    </w:p>
    <w:p w:rsidR="002322D1" w:rsidRDefault="002322D1">
      <w:pPr>
        <w:rPr>
          <w:sz w:val="24"/>
          <w:szCs w:val="24"/>
        </w:rPr>
      </w:pPr>
    </w:p>
    <w:p w:rsidR="00350CDE" w:rsidRDefault="00350CDE" w:rsidP="008D44E4">
      <w:pPr>
        <w:spacing w:after="0"/>
        <w:jc w:val="both"/>
        <w:rPr>
          <w:b/>
          <w:sz w:val="24"/>
          <w:szCs w:val="24"/>
        </w:rPr>
        <w:sectPr w:rsidR="00350CDE" w:rsidSect="00350CDE">
          <w:headerReference w:type="default" r:id="rId8"/>
          <w:footerReference w:type="default" r:id="rId9"/>
          <w:pgSz w:w="12240" w:h="15840"/>
          <w:pgMar w:top="1440" w:right="1440" w:bottom="1440" w:left="1440" w:header="720" w:footer="720" w:gutter="0"/>
          <w:cols w:space="720"/>
          <w:docGrid w:linePitch="360"/>
        </w:sectPr>
      </w:pPr>
    </w:p>
    <w:p w:rsidR="008D44E4" w:rsidRPr="00176678" w:rsidRDefault="008D44E4" w:rsidP="008D44E4">
      <w:pPr>
        <w:spacing w:after="0"/>
        <w:jc w:val="both"/>
        <w:rPr>
          <w:b/>
          <w:sz w:val="24"/>
          <w:szCs w:val="24"/>
        </w:rPr>
      </w:pPr>
      <w:r w:rsidRPr="00176678">
        <w:rPr>
          <w:b/>
          <w:sz w:val="24"/>
          <w:szCs w:val="24"/>
        </w:rPr>
        <w:lastRenderedPageBreak/>
        <w:t>Accessibility of Services</w:t>
      </w:r>
    </w:p>
    <w:tbl>
      <w:tblPr>
        <w:tblStyle w:val="TableGrid"/>
        <w:tblW w:w="0" w:type="auto"/>
        <w:tblLook w:val="04A0" w:firstRow="1" w:lastRow="0" w:firstColumn="1" w:lastColumn="0" w:noHBand="0" w:noVBand="1"/>
      </w:tblPr>
      <w:tblGrid>
        <w:gridCol w:w="9198"/>
        <w:gridCol w:w="3330"/>
      </w:tblGrid>
      <w:tr w:rsidR="00350CDE" w:rsidTr="00F75331">
        <w:tc>
          <w:tcPr>
            <w:tcW w:w="9198" w:type="dxa"/>
            <w:shd w:val="clear" w:color="auto" w:fill="BFBFBF" w:themeFill="background1" w:themeFillShade="BF"/>
          </w:tcPr>
          <w:p w:rsidR="00350CDE" w:rsidRPr="00176678" w:rsidRDefault="00350CDE" w:rsidP="008D44E4">
            <w:pPr>
              <w:rPr>
                <w:b/>
                <w:sz w:val="24"/>
                <w:szCs w:val="24"/>
              </w:rPr>
            </w:pPr>
            <w:r w:rsidRPr="00176678">
              <w:rPr>
                <w:b/>
                <w:sz w:val="24"/>
                <w:szCs w:val="24"/>
              </w:rPr>
              <w:t xml:space="preserve">Goal 1:  </w:t>
            </w:r>
            <w:r>
              <w:rPr>
                <w:b/>
                <w:sz w:val="24"/>
                <w:szCs w:val="24"/>
              </w:rPr>
              <w:t>Foster new and sustain existing collaborations with HHSA staff and other partners to create a community-based spectrum of mental health treatment services.</w:t>
            </w:r>
          </w:p>
        </w:tc>
        <w:tc>
          <w:tcPr>
            <w:tcW w:w="3330" w:type="dxa"/>
            <w:shd w:val="clear" w:color="auto" w:fill="BFBFBF" w:themeFill="background1" w:themeFillShade="BF"/>
          </w:tcPr>
          <w:p w:rsidR="00350CDE" w:rsidRPr="00176678" w:rsidRDefault="00350CDE" w:rsidP="008D44E4">
            <w:pPr>
              <w:rPr>
                <w:b/>
                <w:sz w:val="24"/>
                <w:szCs w:val="24"/>
              </w:rPr>
            </w:pPr>
            <w:r>
              <w:rPr>
                <w:b/>
                <w:sz w:val="24"/>
                <w:szCs w:val="24"/>
              </w:rPr>
              <w:t>Processes to Evaluate</w:t>
            </w:r>
          </w:p>
        </w:tc>
      </w:tr>
      <w:tr w:rsidR="00350CDE" w:rsidTr="00F75331">
        <w:tc>
          <w:tcPr>
            <w:tcW w:w="9198" w:type="dxa"/>
          </w:tcPr>
          <w:p w:rsidR="00350CDE" w:rsidRPr="00176678" w:rsidRDefault="00350CDE" w:rsidP="008D44E4">
            <w:pPr>
              <w:jc w:val="both"/>
              <w:rPr>
                <w:b/>
                <w:sz w:val="24"/>
                <w:szCs w:val="24"/>
              </w:rPr>
            </w:pPr>
            <w:r w:rsidRPr="00176678">
              <w:rPr>
                <w:b/>
                <w:sz w:val="24"/>
                <w:szCs w:val="24"/>
              </w:rPr>
              <w:t>Objectives:</w:t>
            </w:r>
          </w:p>
          <w:p w:rsidR="00350CDE" w:rsidRDefault="00350CDE" w:rsidP="00350CDE">
            <w:pPr>
              <w:pStyle w:val="ListParagraph"/>
              <w:numPr>
                <w:ilvl w:val="0"/>
                <w:numId w:val="36"/>
              </w:numPr>
              <w:jc w:val="both"/>
              <w:rPr>
                <w:sz w:val="20"/>
                <w:szCs w:val="20"/>
              </w:rPr>
            </w:pPr>
            <w:r>
              <w:rPr>
                <w:sz w:val="20"/>
                <w:szCs w:val="20"/>
              </w:rPr>
              <w:t>Evaluate current system for processing initial service requests to determine if resources can be reallocated, improved, or created for continued support of client wellness and recovery.</w:t>
            </w:r>
          </w:p>
          <w:p w:rsidR="00350CDE" w:rsidRPr="0029661A" w:rsidRDefault="00350CDE" w:rsidP="00350CDE">
            <w:pPr>
              <w:pStyle w:val="ListParagraph"/>
              <w:jc w:val="both"/>
              <w:rPr>
                <w:b/>
                <w:sz w:val="20"/>
                <w:szCs w:val="20"/>
              </w:rPr>
            </w:pPr>
            <w:r w:rsidRPr="0029661A">
              <w:rPr>
                <w:b/>
                <w:sz w:val="20"/>
                <w:szCs w:val="20"/>
              </w:rPr>
              <w:t>Measurement:</w:t>
            </w:r>
          </w:p>
          <w:p w:rsidR="00350CDE" w:rsidRDefault="00350CDE" w:rsidP="00350CDE">
            <w:pPr>
              <w:pStyle w:val="ListParagraph"/>
              <w:numPr>
                <w:ilvl w:val="0"/>
                <w:numId w:val="37"/>
              </w:numPr>
              <w:ind w:left="1440"/>
              <w:jc w:val="both"/>
              <w:rPr>
                <w:sz w:val="20"/>
                <w:szCs w:val="20"/>
              </w:rPr>
            </w:pPr>
            <w:r>
              <w:rPr>
                <w:sz w:val="20"/>
                <w:szCs w:val="20"/>
              </w:rPr>
              <w:t>Increase the percentage of clients who receive first clinical assessment within 20 days from the first request for services from 86% to 90%.</w:t>
            </w:r>
          </w:p>
          <w:p w:rsidR="007556A1" w:rsidRDefault="007556A1" w:rsidP="007556A1">
            <w:pPr>
              <w:pStyle w:val="ListParagraph"/>
              <w:ind w:left="1440"/>
              <w:jc w:val="both"/>
              <w:rPr>
                <w:sz w:val="20"/>
                <w:szCs w:val="20"/>
              </w:rPr>
            </w:pPr>
          </w:p>
          <w:bookmarkStart w:id="0" w:name="_MON_1470748187"/>
          <w:bookmarkEnd w:id="0"/>
          <w:p w:rsidR="007556A1" w:rsidRDefault="007556A1" w:rsidP="00850C38">
            <w:pPr>
              <w:pStyle w:val="ListParagraph"/>
              <w:ind w:left="787"/>
              <w:jc w:val="both"/>
              <w:rPr>
                <w:color w:val="FF0000"/>
              </w:rPr>
            </w:pPr>
            <w:r w:rsidRPr="00FC50A5">
              <w:rPr>
                <w:color w:val="FF0000"/>
              </w:rPr>
              <w:object w:dxaOrig="8472" w:dyaOrig="5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66.45pt;height:242.7pt" o:ole="">
                  <v:imagedata r:id="rId10" o:title=""/>
                </v:shape>
                <o:OLEObject Type="Embed" ProgID="Excel.Sheet.12" ShapeID="_x0000_i1062" DrawAspect="Content" ObjectID="_1514189078" r:id="rId11"/>
              </w:object>
            </w:r>
          </w:p>
          <w:p w:rsidR="007556A1" w:rsidRDefault="007556A1" w:rsidP="00850C38">
            <w:pPr>
              <w:pStyle w:val="ListParagraph"/>
              <w:ind w:left="787"/>
              <w:jc w:val="both"/>
              <w:rPr>
                <w:color w:val="FF0000"/>
              </w:rPr>
            </w:pPr>
          </w:p>
          <w:p w:rsidR="007556A1" w:rsidRPr="007556A1" w:rsidRDefault="007556A1" w:rsidP="00850C38">
            <w:pPr>
              <w:pStyle w:val="ListParagraph"/>
              <w:ind w:left="787"/>
              <w:jc w:val="both"/>
              <w:rPr>
                <w:b/>
                <w:sz w:val="20"/>
              </w:rPr>
            </w:pPr>
            <w:r w:rsidRPr="007556A1">
              <w:rPr>
                <w:b/>
                <w:sz w:val="20"/>
              </w:rPr>
              <w:t xml:space="preserve">Target was met </w:t>
            </w:r>
            <w:bookmarkStart w:id="1" w:name="_GoBack"/>
            <w:r w:rsidRPr="007556A1">
              <w:rPr>
                <w:b/>
                <w:sz w:val="20"/>
              </w:rPr>
              <w:t>for all ages and quarters except for Q3 for youth.</w:t>
            </w:r>
            <w:bookmarkEnd w:id="1"/>
          </w:p>
          <w:p w:rsidR="007556A1" w:rsidRDefault="007556A1" w:rsidP="00850C38">
            <w:pPr>
              <w:pStyle w:val="ListParagraph"/>
              <w:ind w:left="1687"/>
              <w:jc w:val="both"/>
              <w:rPr>
                <w:sz w:val="20"/>
                <w:szCs w:val="20"/>
              </w:rPr>
            </w:pPr>
          </w:p>
          <w:p w:rsidR="00350CDE" w:rsidRDefault="00350CDE" w:rsidP="00350CDE">
            <w:pPr>
              <w:pStyle w:val="ListParagraph"/>
              <w:numPr>
                <w:ilvl w:val="0"/>
                <w:numId w:val="37"/>
              </w:numPr>
              <w:ind w:left="1440"/>
              <w:jc w:val="both"/>
              <w:rPr>
                <w:sz w:val="20"/>
                <w:szCs w:val="20"/>
              </w:rPr>
            </w:pPr>
            <w:r>
              <w:rPr>
                <w:sz w:val="20"/>
                <w:szCs w:val="20"/>
              </w:rPr>
              <w:lastRenderedPageBreak/>
              <w:t>Increase the percentage of clients who receive first psychiatrist appointment within 30 days of first request for services from 64% to 68%.</w:t>
            </w:r>
          </w:p>
          <w:p w:rsidR="00350CDE" w:rsidRDefault="00350CDE" w:rsidP="00C52889">
            <w:pPr>
              <w:pStyle w:val="ListParagraph"/>
              <w:numPr>
                <w:ilvl w:val="0"/>
                <w:numId w:val="37"/>
              </w:numPr>
              <w:ind w:left="1440"/>
              <w:jc w:val="both"/>
              <w:rPr>
                <w:sz w:val="20"/>
                <w:szCs w:val="20"/>
              </w:rPr>
            </w:pPr>
            <w:r>
              <w:rPr>
                <w:sz w:val="20"/>
                <w:szCs w:val="20"/>
              </w:rPr>
              <w:t>All random test calls requesting crisis services will comply with 24/7 crisis response protocols.</w:t>
            </w:r>
          </w:p>
          <w:p w:rsidR="003F7CA1" w:rsidRPr="00C52889" w:rsidRDefault="003F7CA1" w:rsidP="00C52889">
            <w:pPr>
              <w:pStyle w:val="ListParagraph"/>
              <w:numPr>
                <w:ilvl w:val="0"/>
                <w:numId w:val="37"/>
              </w:numPr>
              <w:ind w:left="1440"/>
              <w:jc w:val="both"/>
              <w:rPr>
                <w:sz w:val="20"/>
                <w:szCs w:val="20"/>
              </w:rPr>
            </w:pPr>
            <w:r>
              <w:rPr>
                <w:sz w:val="20"/>
                <w:szCs w:val="20"/>
              </w:rPr>
              <w:t>Decrease average length of time between medical clearance and client dispositio</w:t>
            </w:r>
            <w:r w:rsidR="003249FF">
              <w:rPr>
                <w:sz w:val="20"/>
                <w:szCs w:val="20"/>
              </w:rPr>
              <w:t>n determination by 10% from FY12</w:t>
            </w:r>
            <w:r>
              <w:rPr>
                <w:sz w:val="20"/>
                <w:szCs w:val="20"/>
              </w:rPr>
              <w:t>/13 baseline.</w:t>
            </w:r>
          </w:p>
        </w:tc>
        <w:tc>
          <w:tcPr>
            <w:tcW w:w="3330" w:type="dxa"/>
          </w:tcPr>
          <w:p w:rsidR="00350CDE" w:rsidRDefault="00713C06" w:rsidP="00713C06">
            <w:pPr>
              <w:pStyle w:val="ListParagraph"/>
              <w:numPr>
                <w:ilvl w:val="0"/>
                <w:numId w:val="54"/>
              </w:numPr>
              <w:ind w:left="259" w:hanging="187"/>
              <w:jc w:val="both"/>
              <w:rPr>
                <w:sz w:val="18"/>
                <w:szCs w:val="18"/>
              </w:rPr>
            </w:pPr>
            <w:r>
              <w:rPr>
                <w:sz w:val="18"/>
                <w:szCs w:val="18"/>
              </w:rPr>
              <w:lastRenderedPageBreak/>
              <w:t>Dates for request for service and 1</w:t>
            </w:r>
            <w:r w:rsidRPr="00713C06">
              <w:rPr>
                <w:sz w:val="18"/>
                <w:szCs w:val="18"/>
                <w:vertAlign w:val="superscript"/>
              </w:rPr>
              <w:t>st</w:t>
            </w:r>
            <w:r>
              <w:rPr>
                <w:sz w:val="18"/>
                <w:szCs w:val="18"/>
              </w:rPr>
              <w:t xml:space="preserve"> assessment will be generated from Anasazi billing system</w:t>
            </w:r>
            <w:r w:rsidR="0024164B">
              <w:rPr>
                <w:sz w:val="18"/>
                <w:szCs w:val="18"/>
              </w:rPr>
              <w:t>.</w:t>
            </w:r>
          </w:p>
          <w:p w:rsidR="0046711B" w:rsidRDefault="0046711B" w:rsidP="0046711B">
            <w:pPr>
              <w:pStyle w:val="ListParagraph"/>
              <w:ind w:left="259"/>
              <w:jc w:val="both"/>
              <w:rPr>
                <w:sz w:val="18"/>
                <w:szCs w:val="18"/>
              </w:rPr>
            </w:pPr>
          </w:p>
          <w:p w:rsidR="00713C06" w:rsidRDefault="00713C06" w:rsidP="00713C06">
            <w:pPr>
              <w:pStyle w:val="ListParagraph"/>
              <w:numPr>
                <w:ilvl w:val="0"/>
                <w:numId w:val="54"/>
              </w:numPr>
              <w:ind w:left="259" w:hanging="187"/>
              <w:jc w:val="both"/>
              <w:rPr>
                <w:sz w:val="18"/>
                <w:szCs w:val="18"/>
              </w:rPr>
            </w:pPr>
            <w:r>
              <w:rPr>
                <w:sz w:val="18"/>
                <w:szCs w:val="18"/>
              </w:rPr>
              <w:t>Dates for request for service and initial medication evaluation will be generated from Anasazi billing system</w:t>
            </w:r>
            <w:r w:rsidR="0046711B">
              <w:rPr>
                <w:sz w:val="18"/>
                <w:szCs w:val="18"/>
              </w:rPr>
              <w:t>.</w:t>
            </w:r>
          </w:p>
          <w:p w:rsidR="0046711B" w:rsidRDefault="0046711B" w:rsidP="0046711B">
            <w:pPr>
              <w:pStyle w:val="ListParagraph"/>
              <w:ind w:left="259"/>
              <w:jc w:val="both"/>
              <w:rPr>
                <w:sz w:val="18"/>
                <w:szCs w:val="18"/>
              </w:rPr>
            </w:pPr>
          </w:p>
          <w:p w:rsidR="00713C06" w:rsidRDefault="00713C06" w:rsidP="00713C06">
            <w:pPr>
              <w:pStyle w:val="ListParagraph"/>
              <w:numPr>
                <w:ilvl w:val="0"/>
                <w:numId w:val="54"/>
              </w:numPr>
              <w:ind w:left="259" w:hanging="187"/>
              <w:jc w:val="both"/>
              <w:rPr>
                <w:sz w:val="18"/>
                <w:szCs w:val="18"/>
              </w:rPr>
            </w:pPr>
            <w:r>
              <w:rPr>
                <w:sz w:val="18"/>
                <w:szCs w:val="18"/>
              </w:rPr>
              <w:t xml:space="preserve">Random test call logs will be gathered on a quarterly basis to </w:t>
            </w:r>
            <w:r w:rsidR="00F31A58">
              <w:rPr>
                <w:sz w:val="18"/>
                <w:szCs w:val="18"/>
              </w:rPr>
              <w:t>determine percentage of calls that follow the 24/7 crisis response protocols.</w:t>
            </w:r>
          </w:p>
          <w:p w:rsidR="0046711B" w:rsidRDefault="0046711B" w:rsidP="0046711B">
            <w:pPr>
              <w:pStyle w:val="ListParagraph"/>
              <w:ind w:left="259"/>
              <w:jc w:val="both"/>
              <w:rPr>
                <w:sz w:val="18"/>
                <w:szCs w:val="18"/>
              </w:rPr>
            </w:pPr>
          </w:p>
          <w:p w:rsidR="003F7CA1" w:rsidRPr="00713C06" w:rsidRDefault="003F7CA1" w:rsidP="00713C06">
            <w:pPr>
              <w:pStyle w:val="ListParagraph"/>
              <w:numPr>
                <w:ilvl w:val="0"/>
                <w:numId w:val="54"/>
              </w:numPr>
              <w:ind w:left="259" w:hanging="187"/>
              <w:jc w:val="both"/>
              <w:rPr>
                <w:sz w:val="18"/>
                <w:szCs w:val="18"/>
              </w:rPr>
            </w:pPr>
            <w:r>
              <w:rPr>
                <w:sz w:val="18"/>
                <w:szCs w:val="18"/>
              </w:rPr>
              <w:t>Urgent care database will be used to calculate average length of time</w:t>
            </w:r>
            <w:r w:rsidR="002641FB">
              <w:rPr>
                <w:sz w:val="18"/>
                <w:szCs w:val="18"/>
              </w:rPr>
              <w:t xml:space="preserve"> between medical clearance and client disposition determination</w:t>
            </w:r>
            <w:r>
              <w:rPr>
                <w:sz w:val="18"/>
                <w:szCs w:val="18"/>
              </w:rPr>
              <w:t>.</w:t>
            </w:r>
          </w:p>
        </w:tc>
      </w:tr>
      <w:tr w:rsidR="00350CDE" w:rsidTr="00F75331">
        <w:tc>
          <w:tcPr>
            <w:tcW w:w="9198" w:type="dxa"/>
          </w:tcPr>
          <w:p w:rsidR="00350CDE" w:rsidRDefault="00350CDE" w:rsidP="00350CDE">
            <w:pPr>
              <w:pStyle w:val="ListParagraph"/>
              <w:numPr>
                <w:ilvl w:val="0"/>
                <w:numId w:val="36"/>
              </w:numPr>
              <w:jc w:val="both"/>
              <w:rPr>
                <w:sz w:val="20"/>
                <w:szCs w:val="20"/>
              </w:rPr>
            </w:pPr>
            <w:r>
              <w:rPr>
                <w:sz w:val="20"/>
                <w:szCs w:val="20"/>
              </w:rPr>
              <w:lastRenderedPageBreak/>
              <w:t>Assess accessibility of services for underrepresented cultures including</w:t>
            </w:r>
            <w:r w:rsidR="00C52889">
              <w:rPr>
                <w:sz w:val="20"/>
                <w:szCs w:val="20"/>
              </w:rPr>
              <w:t>, but not limited to,</w:t>
            </w:r>
            <w:r>
              <w:rPr>
                <w:sz w:val="20"/>
                <w:szCs w:val="20"/>
              </w:rPr>
              <w:t xml:space="preserve"> Hispanic, Mien, Black, Native American, Indian, and Lesbian/Gay/Bisexual/Transgender/Questioning (LGBTQ).</w:t>
            </w:r>
          </w:p>
          <w:p w:rsidR="00350CDE" w:rsidRPr="0029661A" w:rsidRDefault="00350CDE" w:rsidP="00350CDE">
            <w:pPr>
              <w:pStyle w:val="ListParagraph"/>
              <w:jc w:val="both"/>
              <w:rPr>
                <w:b/>
                <w:sz w:val="20"/>
                <w:szCs w:val="20"/>
              </w:rPr>
            </w:pPr>
            <w:r w:rsidRPr="0029661A">
              <w:rPr>
                <w:b/>
                <w:sz w:val="20"/>
                <w:szCs w:val="20"/>
              </w:rPr>
              <w:t>Measurement:</w:t>
            </w:r>
          </w:p>
          <w:p w:rsidR="00350CDE" w:rsidRDefault="00350CDE" w:rsidP="00350CDE">
            <w:pPr>
              <w:pStyle w:val="ListParagraph"/>
              <w:numPr>
                <w:ilvl w:val="0"/>
                <w:numId w:val="38"/>
              </w:numPr>
              <w:ind w:left="1440"/>
              <w:jc w:val="both"/>
              <w:rPr>
                <w:sz w:val="20"/>
                <w:szCs w:val="20"/>
              </w:rPr>
            </w:pPr>
            <w:r>
              <w:rPr>
                <w:sz w:val="20"/>
                <w:szCs w:val="20"/>
              </w:rPr>
              <w:t>85% of random test calls requesting mental health services will demonstrate staff proficiency with language line transfers, accessibility of interpreted materials and interpreters.</w:t>
            </w:r>
          </w:p>
          <w:p w:rsidR="00350CDE" w:rsidRDefault="00350CDE" w:rsidP="00350CDE">
            <w:pPr>
              <w:pStyle w:val="ListParagraph"/>
              <w:numPr>
                <w:ilvl w:val="0"/>
                <w:numId w:val="38"/>
              </w:numPr>
              <w:ind w:left="1440"/>
              <w:jc w:val="both"/>
              <w:rPr>
                <w:sz w:val="20"/>
                <w:szCs w:val="20"/>
              </w:rPr>
            </w:pPr>
            <w:r>
              <w:rPr>
                <w:sz w:val="20"/>
                <w:szCs w:val="20"/>
              </w:rPr>
              <w:t>Increase participation of MHP and organizational provider staff in cultural competency training activities from 50% to 75%.</w:t>
            </w:r>
          </w:p>
          <w:p w:rsidR="00350CDE" w:rsidRDefault="00350CDE" w:rsidP="00350CDE">
            <w:pPr>
              <w:pStyle w:val="ListParagraph"/>
              <w:numPr>
                <w:ilvl w:val="0"/>
                <w:numId w:val="38"/>
              </w:numPr>
              <w:ind w:left="1440"/>
              <w:jc w:val="both"/>
              <w:rPr>
                <w:sz w:val="20"/>
                <w:szCs w:val="20"/>
              </w:rPr>
            </w:pPr>
            <w:r>
              <w:rPr>
                <w:sz w:val="20"/>
                <w:szCs w:val="20"/>
              </w:rPr>
              <w:t xml:space="preserve">The MHP Cultural Competency Committee will meet </w:t>
            </w:r>
            <w:r w:rsidR="00545B7E">
              <w:rPr>
                <w:sz w:val="20"/>
                <w:szCs w:val="20"/>
              </w:rPr>
              <w:t xml:space="preserve">a minimum of </w:t>
            </w:r>
            <w:r>
              <w:rPr>
                <w:sz w:val="20"/>
                <w:szCs w:val="20"/>
              </w:rPr>
              <w:t>quarterly and will:</w:t>
            </w:r>
          </w:p>
          <w:p w:rsidR="00350CDE" w:rsidRDefault="00350CDE" w:rsidP="00350CDE">
            <w:pPr>
              <w:pStyle w:val="ListParagraph"/>
              <w:ind w:left="1440"/>
              <w:jc w:val="both"/>
              <w:rPr>
                <w:sz w:val="20"/>
                <w:szCs w:val="20"/>
              </w:rPr>
            </w:pPr>
            <w:r>
              <w:rPr>
                <w:sz w:val="20"/>
                <w:szCs w:val="20"/>
              </w:rPr>
              <w:t>1. Develop a FY14/15 Cultural Competency Plan; and</w:t>
            </w:r>
          </w:p>
          <w:p w:rsidR="00350CDE" w:rsidRDefault="00350CDE" w:rsidP="00C52889">
            <w:pPr>
              <w:pStyle w:val="ListParagraph"/>
              <w:ind w:left="1440"/>
              <w:jc w:val="both"/>
              <w:rPr>
                <w:sz w:val="20"/>
                <w:szCs w:val="20"/>
              </w:rPr>
            </w:pPr>
            <w:r>
              <w:rPr>
                <w:sz w:val="20"/>
                <w:szCs w:val="20"/>
              </w:rPr>
              <w:t>2. Develop a FY15/16 Q</w:t>
            </w:r>
            <w:r w:rsidR="001170A2">
              <w:rPr>
                <w:sz w:val="20"/>
                <w:szCs w:val="20"/>
              </w:rPr>
              <w:t>M</w:t>
            </w:r>
            <w:r>
              <w:rPr>
                <w:sz w:val="20"/>
                <w:szCs w:val="20"/>
              </w:rPr>
              <w:t xml:space="preserve"> </w:t>
            </w:r>
            <w:proofErr w:type="spellStart"/>
            <w:r>
              <w:rPr>
                <w:sz w:val="20"/>
                <w:szCs w:val="20"/>
              </w:rPr>
              <w:t>Workplan</w:t>
            </w:r>
            <w:proofErr w:type="spellEnd"/>
            <w:r>
              <w:rPr>
                <w:sz w:val="20"/>
                <w:szCs w:val="20"/>
              </w:rPr>
              <w:t xml:space="preserve"> Goal.</w:t>
            </w:r>
          </w:p>
          <w:p w:rsidR="00B41335" w:rsidRDefault="00B41335" w:rsidP="00C52889">
            <w:pPr>
              <w:pStyle w:val="ListParagraph"/>
              <w:ind w:left="1440"/>
              <w:jc w:val="both"/>
              <w:rPr>
                <w:sz w:val="20"/>
                <w:szCs w:val="20"/>
              </w:rPr>
            </w:pPr>
          </w:p>
          <w:p w:rsidR="00B41335" w:rsidRDefault="00B41335" w:rsidP="00C52889">
            <w:pPr>
              <w:pStyle w:val="ListParagraph"/>
              <w:ind w:left="1440"/>
              <w:jc w:val="both"/>
              <w:rPr>
                <w:sz w:val="20"/>
                <w:szCs w:val="20"/>
              </w:rPr>
            </w:pPr>
          </w:p>
          <w:p w:rsidR="00B41335" w:rsidRDefault="00B41335" w:rsidP="00C52889">
            <w:pPr>
              <w:pStyle w:val="ListParagraph"/>
              <w:ind w:left="1440"/>
              <w:jc w:val="both"/>
              <w:rPr>
                <w:sz w:val="20"/>
                <w:szCs w:val="20"/>
              </w:rPr>
            </w:pPr>
          </w:p>
          <w:p w:rsidR="00B41335" w:rsidRDefault="00B41335" w:rsidP="00C52889">
            <w:pPr>
              <w:pStyle w:val="ListParagraph"/>
              <w:ind w:left="1440"/>
              <w:jc w:val="both"/>
              <w:rPr>
                <w:sz w:val="20"/>
                <w:szCs w:val="20"/>
              </w:rPr>
            </w:pPr>
          </w:p>
          <w:p w:rsidR="00B41335" w:rsidRPr="00C52889" w:rsidRDefault="00B41335" w:rsidP="00C52889">
            <w:pPr>
              <w:pStyle w:val="ListParagraph"/>
              <w:ind w:left="1440"/>
              <w:jc w:val="both"/>
              <w:rPr>
                <w:sz w:val="20"/>
                <w:szCs w:val="20"/>
              </w:rPr>
            </w:pPr>
          </w:p>
        </w:tc>
        <w:tc>
          <w:tcPr>
            <w:tcW w:w="3330" w:type="dxa"/>
          </w:tcPr>
          <w:p w:rsidR="00350CDE" w:rsidRDefault="00F31A58" w:rsidP="00AB3F48">
            <w:pPr>
              <w:pStyle w:val="ListParagraph"/>
              <w:numPr>
                <w:ilvl w:val="0"/>
                <w:numId w:val="39"/>
              </w:numPr>
              <w:ind w:left="252" w:hanging="180"/>
              <w:jc w:val="both"/>
              <w:rPr>
                <w:sz w:val="18"/>
                <w:szCs w:val="18"/>
              </w:rPr>
            </w:pPr>
            <w:r>
              <w:rPr>
                <w:sz w:val="18"/>
                <w:szCs w:val="18"/>
              </w:rPr>
              <w:t>Random test calls logs will be reviewed to determine percentage of calls that staff demonstrated proficiency with language line transfers</w:t>
            </w:r>
            <w:r w:rsidR="003F62CD">
              <w:rPr>
                <w:sz w:val="18"/>
                <w:szCs w:val="18"/>
              </w:rPr>
              <w:t>, accessibility of interpreted materials and interpreters</w:t>
            </w:r>
            <w:r w:rsidR="0046711B">
              <w:rPr>
                <w:sz w:val="18"/>
                <w:szCs w:val="18"/>
              </w:rPr>
              <w:t>.</w:t>
            </w:r>
          </w:p>
          <w:p w:rsidR="0046711B" w:rsidRPr="00AB3F48" w:rsidRDefault="0046711B" w:rsidP="0046711B">
            <w:pPr>
              <w:pStyle w:val="ListParagraph"/>
              <w:ind w:left="252"/>
              <w:jc w:val="both"/>
              <w:rPr>
                <w:sz w:val="18"/>
                <w:szCs w:val="18"/>
              </w:rPr>
            </w:pPr>
          </w:p>
          <w:p w:rsidR="00163C44" w:rsidRDefault="00163C44" w:rsidP="00713C06">
            <w:pPr>
              <w:pStyle w:val="ListParagraph"/>
              <w:numPr>
                <w:ilvl w:val="0"/>
                <w:numId w:val="39"/>
              </w:numPr>
              <w:ind w:left="252" w:hanging="180"/>
              <w:jc w:val="both"/>
              <w:rPr>
                <w:sz w:val="18"/>
                <w:szCs w:val="18"/>
              </w:rPr>
            </w:pPr>
            <w:r w:rsidRPr="00713C06">
              <w:rPr>
                <w:sz w:val="18"/>
                <w:szCs w:val="18"/>
              </w:rPr>
              <w:t>Sign in sheets will be gathered at each Cultural Competency Training to determine the percentage of attendees</w:t>
            </w:r>
            <w:r w:rsidR="0046711B">
              <w:rPr>
                <w:sz w:val="18"/>
                <w:szCs w:val="18"/>
              </w:rPr>
              <w:t>.</w:t>
            </w:r>
          </w:p>
          <w:p w:rsidR="0046711B" w:rsidRDefault="0046711B" w:rsidP="0046711B">
            <w:pPr>
              <w:pStyle w:val="ListParagraph"/>
              <w:ind w:left="252"/>
              <w:jc w:val="both"/>
              <w:rPr>
                <w:sz w:val="18"/>
                <w:szCs w:val="18"/>
              </w:rPr>
            </w:pPr>
          </w:p>
          <w:p w:rsidR="00163C44" w:rsidRPr="00713C06" w:rsidRDefault="00F75331" w:rsidP="00713C06">
            <w:pPr>
              <w:pStyle w:val="ListParagraph"/>
              <w:ind w:left="252" w:hanging="180"/>
              <w:jc w:val="both"/>
              <w:rPr>
                <w:sz w:val="18"/>
                <w:szCs w:val="18"/>
              </w:rPr>
            </w:pPr>
            <w:r w:rsidRPr="00713C06">
              <w:rPr>
                <w:sz w:val="18"/>
                <w:szCs w:val="18"/>
              </w:rPr>
              <w:t xml:space="preserve">c. </w:t>
            </w:r>
            <w:r w:rsidR="00163C44" w:rsidRPr="00713C06">
              <w:rPr>
                <w:sz w:val="18"/>
                <w:szCs w:val="18"/>
              </w:rPr>
              <w:t>The Cultural Competency Committee will submit a FY1415 Plan to DHCS and submit a recommended Q</w:t>
            </w:r>
            <w:r w:rsidR="003F62CD">
              <w:rPr>
                <w:sz w:val="18"/>
                <w:szCs w:val="18"/>
              </w:rPr>
              <w:t>M</w:t>
            </w:r>
            <w:r w:rsidR="00163C44" w:rsidRPr="00713C06">
              <w:rPr>
                <w:sz w:val="18"/>
                <w:szCs w:val="18"/>
              </w:rPr>
              <w:t xml:space="preserve"> </w:t>
            </w:r>
            <w:proofErr w:type="spellStart"/>
            <w:r w:rsidR="00163C44" w:rsidRPr="00713C06">
              <w:rPr>
                <w:sz w:val="18"/>
                <w:szCs w:val="18"/>
              </w:rPr>
              <w:t>Workplan</w:t>
            </w:r>
            <w:proofErr w:type="spellEnd"/>
            <w:r w:rsidR="00163C44" w:rsidRPr="00713C06">
              <w:rPr>
                <w:sz w:val="18"/>
                <w:szCs w:val="18"/>
              </w:rPr>
              <w:t xml:space="preserve"> Goal to the QI Coordinator</w:t>
            </w:r>
          </w:p>
        </w:tc>
      </w:tr>
      <w:tr w:rsidR="00350CDE" w:rsidTr="00F75331">
        <w:tc>
          <w:tcPr>
            <w:tcW w:w="9198" w:type="dxa"/>
          </w:tcPr>
          <w:p w:rsidR="00350CDE" w:rsidRDefault="00350CDE" w:rsidP="00350CDE">
            <w:pPr>
              <w:pStyle w:val="ListParagraph"/>
              <w:numPr>
                <w:ilvl w:val="0"/>
                <w:numId w:val="36"/>
              </w:numPr>
              <w:jc w:val="both"/>
              <w:rPr>
                <w:sz w:val="20"/>
                <w:szCs w:val="20"/>
              </w:rPr>
            </w:pPr>
            <w:r>
              <w:rPr>
                <w:sz w:val="20"/>
                <w:szCs w:val="20"/>
              </w:rPr>
              <w:t xml:space="preserve">Improve penetration rates of underserved populations.  </w:t>
            </w:r>
          </w:p>
          <w:p w:rsidR="00350CDE" w:rsidRPr="0029661A" w:rsidRDefault="00350CDE" w:rsidP="00350CDE">
            <w:pPr>
              <w:pStyle w:val="ListParagraph"/>
              <w:jc w:val="both"/>
              <w:rPr>
                <w:b/>
                <w:sz w:val="20"/>
                <w:szCs w:val="20"/>
              </w:rPr>
            </w:pPr>
            <w:r w:rsidRPr="0029661A">
              <w:rPr>
                <w:b/>
                <w:sz w:val="20"/>
                <w:szCs w:val="20"/>
              </w:rPr>
              <w:t>Measurement</w:t>
            </w:r>
            <w:r>
              <w:rPr>
                <w:b/>
                <w:sz w:val="20"/>
                <w:szCs w:val="20"/>
              </w:rPr>
              <w:t>:</w:t>
            </w:r>
          </w:p>
          <w:p w:rsidR="00350CDE" w:rsidRPr="008D44E4" w:rsidRDefault="00350CDE" w:rsidP="00C52889">
            <w:pPr>
              <w:pStyle w:val="ListParagraph"/>
              <w:numPr>
                <w:ilvl w:val="0"/>
                <w:numId w:val="44"/>
              </w:numPr>
              <w:ind w:left="1440"/>
              <w:jc w:val="both"/>
              <w:rPr>
                <w:sz w:val="24"/>
                <w:szCs w:val="24"/>
              </w:rPr>
            </w:pPr>
            <w:r>
              <w:rPr>
                <w:sz w:val="20"/>
                <w:szCs w:val="20"/>
              </w:rPr>
              <w:t>Increase Medi-Cal penetration rates among underserved populations identified in the 2011 External Quality Review Organization (EQRO) report by 1</w:t>
            </w:r>
            <w:r w:rsidR="004F7E8F">
              <w:rPr>
                <w:sz w:val="20"/>
                <w:szCs w:val="20"/>
              </w:rPr>
              <w:t>0% based on the most recent available</w:t>
            </w:r>
            <w:r>
              <w:rPr>
                <w:sz w:val="20"/>
                <w:szCs w:val="20"/>
              </w:rPr>
              <w:t xml:space="preserve"> data.</w:t>
            </w:r>
          </w:p>
        </w:tc>
        <w:tc>
          <w:tcPr>
            <w:tcW w:w="3330" w:type="dxa"/>
          </w:tcPr>
          <w:p w:rsidR="00350CDE" w:rsidRPr="00713C06" w:rsidRDefault="00A125A0" w:rsidP="00713C06">
            <w:pPr>
              <w:pStyle w:val="ListParagraph"/>
              <w:numPr>
                <w:ilvl w:val="0"/>
                <w:numId w:val="53"/>
              </w:numPr>
              <w:ind w:left="259" w:hanging="187"/>
              <w:jc w:val="both"/>
              <w:rPr>
                <w:sz w:val="18"/>
                <w:szCs w:val="18"/>
              </w:rPr>
            </w:pPr>
            <w:r w:rsidRPr="00713C06">
              <w:rPr>
                <w:sz w:val="18"/>
                <w:szCs w:val="18"/>
              </w:rPr>
              <w:t>The Monthly Medi</w:t>
            </w:r>
            <w:r w:rsidR="00713C06" w:rsidRPr="00713C06">
              <w:rPr>
                <w:sz w:val="18"/>
                <w:szCs w:val="18"/>
              </w:rPr>
              <w:t>-</w:t>
            </w:r>
            <w:r w:rsidRPr="00713C06">
              <w:rPr>
                <w:sz w:val="18"/>
                <w:szCs w:val="18"/>
              </w:rPr>
              <w:t>Cal Eligibility File will be used to measure quarterly penetration rates</w:t>
            </w:r>
            <w:r w:rsidR="00602DA0">
              <w:rPr>
                <w:sz w:val="18"/>
                <w:szCs w:val="18"/>
              </w:rPr>
              <w:t xml:space="preserve"> by gender, age group, and race/ethnicity</w:t>
            </w:r>
            <w:r w:rsidRPr="00713C06">
              <w:rPr>
                <w:sz w:val="18"/>
                <w:szCs w:val="18"/>
              </w:rPr>
              <w:t>.</w:t>
            </w:r>
          </w:p>
        </w:tc>
      </w:tr>
    </w:tbl>
    <w:p w:rsidR="002322D1" w:rsidRDefault="002322D1" w:rsidP="002F5C60">
      <w:pPr>
        <w:spacing w:after="0"/>
        <w:jc w:val="both"/>
        <w:rPr>
          <w:b/>
          <w:sz w:val="24"/>
          <w:szCs w:val="24"/>
        </w:rPr>
      </w:pPr>
    </w:p>
    <w:p w:rsidR="002322D1" w:rsidRDefault="002322D1">
      <w:pPr>
        <w:rPr>
          <w:b/>
          <w:sz w:val="24"/>
          <w:szCs w:val="24"/>
        </w:rPr>
      </w:pPr>
      <w:r>
        <w:rPr>
          <w:b/>
          <w:sz w:val="24"/>
          <w:szCs w:val="24"/>
        </w:rPr>
        <w:br w:type="page"/>
      </w:r>
    </w:p>
    <w:p w:rsidR="00644208" w:rsidRPr="00176678" w:rsidRDefault="00644208" w:rsidP="002F5C60">
      <w:pPr>
        <w:spacing w:after="0"/>
        <w:jc w:val="both"/>
        <w:rPr>
          <w:b/>
          <w:sz w:val="24"/>
          <w:szCs w:val="24"/>
        </w:rPr>
      </w:pPr>
      <w:r w:rsidRPr="00176678">
        <w:rPr>
          <w:b/>
          <w:sz w:val="24"/>
          <w:szCs w:val="24"/>
        </w:rPr>
        <w:lastRenderedPageBreak/>
        <w:t>Service Delivery Capacity</w:t>
      </w:r>
    </w:p>
    <w:tbl>
      <w:tblPr>
        <w:tblStyle w:val="TableGrid"/>
        <w:tblW w:w="0" w:type="auto"/>
        <w:tblLook w:val="04A0" w:firstRow="1" w:lastRow="0" w:firstColumn="1" w:lastColumn="0" w:noHBand="0" w:noVBand="1"/>
      </w:tblPr>
      <w:tblGrid>
        <w:gridCol w:w="9198"/>
        <w:gridCol w:w="3330"/>
      </w:tblGrid>
      <w:tr w:rsidR="00350CDE" w:rsidTr="00F75331">
        <w:tc>
          <w:tcPr>
            <w:tcW w:w="9198" w:type="dxa"/>
            <w:shd w:val="clear" w:color="auto" w:fill="BFBFBF" w:themeFill="background1" w:themeFillShade="BF"/>
          </w:tcPr>
          <w:p w:rsidR="00350CDE" w:rsidRDefault="00350CDE" w:rsidP="00644208">
            <w:pPr>
              <w:jc w:val="both"/>
              <w:rPr>
                <w:b/>
                <w:sz w:val="24"/>
                <w:szCs w:val="24"/>
              </w:rPr>
            </w:pPr>
            <w:r w:rsidRPr="00176678">
              <w:rPr>
                <w:b/>
                <w:sz w:val="24"/>
                <w:szCs w:val="24"/>
              </w:rPr>
              <w:t>Goal 2: Ensure that MHP services and resources are appropriately allocated to address mental health treatment needs.</w:t>
            </w:r>
          </w:p>
        </w:tc>
        <w:tc>
          <w:tcPr>
            <w:tcW w:w="3330" w:type="dxa"/>
            <w:shd w:val="clear" w:color="auto" w:fill="BFBFBF" w:themeFill="background1" w:themeFillShade="BF"/>
          </w:tcPr>
          <w:p w:rsidR="00350CDE" w:rsidRPr="00176678" w:rsidRDefault="00350CDE" w:rsidP="00644208">
            <w:pPr>
              <w:jc w:val="both"/>
              <w:rPr>
                <w:b/>
                <w:sz w:val="24"/>
                <w:szCs w:val="24"/>
              </w:rPr>
            </w:pPr>
            <w:r>
              <w:rPr>
                <w:b/>
                <w:sz w:val="24"/>
                <w:szCs w:val="24"/>
              </w:rPr>
              <w:t>Processes to Evaluate</w:t>
            </w:r>
          </w:p>
        </w:tc>
      </w:tr>
      <w:tr w:rsidR="00350CDE" w:rsidTr="00F75331">
        <w:tc>
          <w:tcPr>
            <w:tcW w:w="9198" w:type="dxa"/>
          </w:tcPr>
          <w:p w:rsidR="00350CDE" w:rsidRPr="00176678" w:rsidRDefault="00350CDE" w:rsidP="002D2526">
            <w:pPr>
              <w:jc w:val="both"/>
              <w:rPr>
                <w:b/>
                <w:sz w:val="24"/>
                <w:szCs w:val="24"/>
              </w:rPr>
            </w:pPr>
            <w:r w:rsidRPr="00176678">
              <w:rPr>
                <w:b/>
                <w:sz w:val="24"/>
                <w:szCs w:val="24"/>
              </w:rPr>
              <w:t>Objectives:</w:t>
            </w:r>
          </w:p>
          <w:p w:rsidR="00163C44" w:rsidRDefault="00163C44" w:rsidP="00163C44">
            <w:pPr>
              <w:pStyle w:val="ListParagraph"/>
              <w:numPr>
                <w:ilvl w:val="0"/>
                <w:numId w:val="40"/>
              </w:numPr>
              <w:jc w:val="both"/>
              <w:rPr>
                <w:sz w:val="20"/>
                <w:szCs w:val="20"/>
              </w:rPr>
            </w:pPr>
            <w:r>
              <w:rPr>
                <w:sz w:val="20"/>
                <w:szCs w:val="20"/>
              </w:rPr>
              <w:t xml:space="preserve">Maintain an ongoing evaluation of clients by geographic area to assess population needs and allocation </w:t>
            </w:r>
            <w:r w:rsidR="00545B7E">
              <w:rPr>
                <w:sz w:val="20"/>
                <w:szCs w:val="20"/>
              </w:rPr>
              <w:t xml:space="preserve">of </w:t>
            </w:r>
            <w:r>
              <w:rPr>
                <w:sz w:val="20"/>
                <w:szCs w:val="20"/>
              </w:rPr>
              <w:t>treatment resources in areas of most need:</w:t>
            </w:r>
          </w:p>
          <w:p w:rsidR="00163C44" w:rsidRPr="00DC457E" w:rsidRDefault="00163C44" w:rsidP="00163C44">
            <w:pPr>
              <w:pStyle w:val="ListParagraph"/>
              <w:jc w:val="both"/>
              <w:rPr>
                <w:b/>
                <w:sz w:val="20"/>
                <w:szCs w:val="20"/>
              </w:rPr>
            </w:pPr>
            <w:r w:rsidRPr="00DC457E">
              <w:rPr>
                <w:b/>
                <w:sz w:val="20"/>
                <w:szCs w:val="20"/>
              </w:rPr>
              <w:t>Measurement:</w:t>
            </w:r>
          </w:p>
          <w:p w:rsidR="00350CDE" w:rsidRPr="00163C44" w:rsidRDefault="00163C44" w:rsidP="00545B7E">
            <w:pPr>
              <w:pStyle w:val="ListParagraph"/>
              <w:numPr>
                <w:ilvl w:val="0"/>
                <w:numId w:val="52"/>
              </w:numPr>
            </w:pPr>
            <w:r>
              <w:rPr>
                <w:sz w:val="20"/>
                <w:szCs w:val="20"/>
              </w:rPr>
              <w:t>Resources for the provision of services will be allocated throughout Shasta County based on needs identified by ongoing data collection and reporting</w:t>
            </w:r>
            <w:r w:rsidR="00545B7E">
              <w:rPr>
                <w:sz w:val="20"/>
                <w:szCs w:val="20"/>
              </w:rPr>
              <w:t>.</w:t>
            </w:r>
          </w:p>
        </w:tc>
        <w:tc>
          <w:tcPr>
            <w:tcW w:w="3330" w:type="dxa"/>
          </w:tcPr>
          <w:p w:rsidR="00350CDE" w:rsidRPr="00713C06" w:rsidRDefault="00963588" w:rsidP="009D366B">
            <w:pPr>
              <w:pStyle w:val="ListParagraph"/>
              <w:numPr>
                <w:ilvl w:val="0"/>
                <w:numId w:val="55"/>
              </w:numPr>
              <w:ind w:left="259" w:hanging="187"/>
              <w:jc w:val="both"/>
              <w:rPr>
                <w:sz w:val="18"/>
                <w:szCs w:val="18"/>
              </w:rPr>
            </w:pPr>
            <w:r>
              <w:rPr>
                <w:sz w:val="18"/>
                <w:szCs w:val="18"/>
              </w:rPr>
              <w:t>Client zip code and service type will be gathered from Anasazi billing system.</w:t>
            </w:r>
          </w:p>
        </w:tc>
      </w:tr>
      <w:tr w:rsidR="00163C44" w:rsidRPr="006606F9" w:rsidTr="00F75331">
        <w:tc>
          <w:tcPr>
            <w:tcW w:w="9198" w:type="dxa"/>
          </w:tcPr>
          <w:p w:rsidR="00163C44" w:rsidRPr="006606F9" w:rsidRDefault="00163C44" w:rsidP="00163C44">
            <w:pPr>
              <w:pStyle w:val="ListParagraph"/>
              <w:numPr>
                <w:ilvl w:val="0"/>
                <w:numId w:val="40"/>
              </w:numPr>
              <w:jc w:val="both"/>
              <w:rPr>
                <w:sz w:val="20"/>
                <w:szCs w:val="20"/>
              </w:rPr>
            </w:pPr>
            <w:r w:rsidRPr="006C00AB">
              <w:rPr>
                <w:sz w:val="20"/>
                <w:szCs w:val="20"/>
              </w:rPr>
              <w:t>Evaluate crisis prevention and discharge planning activities for clients at risk of hospitalization or have been hospitalized in the previous 12 months.  Identify options for training, reallocation of resources, or other supports to assist staff with workload:</w:t>
            </w:r>
          </w:p>
          <w:p w:rsidR="00163C44" w:rsidRPr="006606F9" w:rsidRDefault="00163C44" w:rsidP="00163C44">
            <w:pPr>
              <w:pStyle w:val="ListParagraph"/>
              <w:jc w:val="both"/>
              <w:rPr>
                <w:b/>
                <w:sz w:val="20"/>
                <w:szCs w:val="20"/>
              </w:rPr>
            </w:pPr>
            <w:r w:rsidRPr="006606F9">
              <w:rPr>
                <w:b/>
                <w:sz w:val="20"/>
                <w:szCs w:val="20"/>
              </w:rPr>
              <w:t>Measurement:</w:t>
            </w:r>
          </w:p>
          <w:p w:rsidR="00163C44" w:rsidRPr="006606F9" w:rsidRDefault="0025600F" w:rsidP="00C52889">
            <w:pPr>
              <w:pStyle w:val="ListParagraph"/>
              <w:numPr>
                <w:ilvl w:val="0"/>
                <w:numId w:val="46"/>
              </w:numPr>
              <w:rPr>
                <w:sz w:val="20"/>
                <w:szCs w:val="20"/>
              </w:rPr>
            </w:pPr>
            <w:r w:rsidRPr="006606F9">
              <w:rPr>
                <w:sz w:val="20"/>
                <w:szCs w:val="20"/>
              </w:rPr>
              <w:t>Decrease psychiatric</w:t>
            </w:r>
            <w:r w:rsidR="00163C44" w:rsidRPr="006606F9">
              <w:rPr>
                <w:sz w:val="20"/>
                <w:szCs w:val="20"/>
              </w:rPr>
              <w:t xml:space="preserve"> inpatient </w:t>
            </w:r>
            <w:proofErr w:type="spellStart"/>
            <w:r w:rsidR="00163C44" w:rsidRPr="006606F9">
              <w:rPr>
                <w:sz w:val="20"/>
                <w:szCs w:val="20"/>
              </w:rPr>
              <w:t>rehospitalization</w:t>
            </w:r>
            <w:proofErr w:type="spellEnd"/>
            <w:r w:rsidR="00163C44" w:rsidRPr="006606F9">
              <w:rPr>
                <w:sz w:val="20"/>
                <w:szCs w:val="20"/>
              </w:rPr>
              <w:t xml:space="preserve"> within 30 days by 10% from FY09/10</w:t>
            </w:r>
            <w:r w:rsidR="003F62CD" w:rsidRPr="006606F9">
              <w:rPr>
                <w:sz w:val="20"/>
                <w:szCs w:val="20"/>
              </w:rPr>
              <w:t xml:space="preserve"> percentage </w:t>
            </w:r>
            <w:r w:rsidR="003F62CD" w:rsidRPr="006C00AB">
              <w:rPr>
                <w:sz w:val="20"/>
                <w:szCs w:val="20"/>
              </w:rPr>
              <w:t xml:space="preserve">of </w:t>
            </w:r>
            <w:proofErr w:type="spellStart"/>
            <w:r w:rsidR="003F62CD" w:rsidRPr="006C00AB">
              <w:rPr>
                <w:sz w:val="20"/>
                <w:szCs w:val="20"/>
              </w:rPr>
              <w:t>rehospitalizations</w:t>
            </w:r>
            <w:proofErr w:type="spellEnd"/>
            <w:r w:rsidR="00163C44" w:rsidRPr="006C00AB">
              <w:rPr>
                <w:sz w:val="20"/>
                <w:szCs w:val="20"/>
              </w:rPr>
              <w:t>.</w:t>
            </w:r>
          </w:p>
        </w:tc>
        <w:tc>
          <w:tcPr>
            <w:tcW w:w="3330" w:type="dxa"/>
          </w:tcPr>
          <w:p w:rsidR="00163C44" w:rsidRPr="006606F9" w:rsidRDefault="00963588" w:rsidP="009D366B">
            <w:pPr>
              <w:pStyle w:val="ListParagraph"/>
              <w:numPr>
                <w:ilvl w:val="0"/>
                <w:numId w:val="56"/>
              </w:numPr>
              <w:ind w:left="259" w:hanging="187"/>
              <w:jc w:val="both"/>
              <w:rPr>
                <w:sz w:val="18"/>
                <w:szCs w:val="18"/>
              </w:rPr>
            </w:pPr>
            <w:r w:rsidRPr="006C00AB">
              <w:rPr>
                <w:sz w:val="18"/>
                <w:szCs w:val="18"/>
              </w:rPr>
              <w:t>Client discharge date will be gathered from Urgent Care database and matched with prior hospitalizations</w:t>
            </w:r>
            <w:r w:rsidR="009D366B" w:rsidRPr="006606F9">
              <w:rPr>
                <w:sz w:val="18"/>
                <w:szCs w:val="18"/>
              </w:rPr>
              <w:t xml:space="preserve"> in previous 30 days</w:t>
            </w:r>
          </w:p>
        </w:tc>
      </w:tr>
      <w:tr w:rsidR="00163C44" w:rsidRPr="006606F9" w:rsidTr="00F75331">
        <w:tc>
          <w:tcPr>
            <w:tcW w:w="9198" w:type="dxa"/>
          </w:tcPr>
          <w:p w:rsidR="00163C44" w:rsidRDefault="006C00AB" w:rsidP="002641FB">
            <w:pPr>
              <w:pStyle w:val="ListParagraph"/>
              <w:numPr>
                <w:ilvl w:val="0"/>
                <w:numId w:val="40"/>
              </w:numPr>
              <w:jc w:val="both"/>
              <w:rPr>
                <w:sz w:val="20"/>
                <w:szCs w:val="20"/>
              </w:rPr>
            </w:pPr>
            <w:r>
              <w:rPr>
                <w:sz w:val="20"/>
                <w:szCs w:val="20"/>
              </w:rPr>
              <w:t>Ensure all clients experiencing inpatient hospitalization receive appropriate follow up discharge contact.</w:t>
            </w:r>
          </w:p>
          <w:p w:rsidR="006C00AB" w:rsidRPr="0090585D" w:rsidRDefault="006C00AB" w:rsidP="006606F9">
            <w:pPr>
              <w:pStyle w:val="ListParagraph"/>
              <w:jc w:val="both"/>
              <w:rPr>
                <w:b/>
                <w:sz w:val="20"/>
                <w:szCs w:val="20"/>
              </w:rPr>
            </w:pPr>
            <w:r w:rsidRPr="0090585D">
              <w:rPr>
                <w:b/>
                <w:sz w:val="20"/>
                <w:szCs w:val="20"/>
              </w:rPr>
              <w:t>Measurement:</w:t>
            </w:r>
          </w:p>
          <w:p w:rsidR="006C00AB" w:rsidRDefault="006C00AB" w:rsidP="0090585D">
            <w:pPr>
              <w:pStyle w:val="ListParagraph"/>
              <w:ind w:left="1080" w:hanging="360"/>
              <w:jc w:val="both"/>
              <w:rPr>
                <w:sz w:val="20"/>
                <w:szCs w:val="20"/>
              </w:rPr>
            </w:pPr>
            <w:r>
              <w:rPr>
                <w:sz w:val="20"/>
                <w:szCs w:val="20"/>
              </w:rPr>
              <w:t xml:space="preserve">a. </w:t>
            </w:r>
            <w:r w:rsidR="0090585D">
              <w:rPr>
                <w:sz w:val="20"/>
                <w:szCs w:val="20"/>
              </w:rPr>
              <w:t xml:space="preserve">  </w:t>
            </w:r>
            <w:r w:rsidR="00C2753D">
              <w:rPr>
                <w:sz w:val="20"/>
                <w:szCs w:val="20"/>
              </w:rPr>
              <w:t xml:space="preserve">Establish a baseline of </w:t>
            </w:r>
            <w:r>
              <w:rPr>
                <w:sz w:val="20"/>
                <w:szCs w:val="20"/>
              </w:rPr>
              <w:t xml:space="preserve">Adult clients </w:t>
            </w:r>
            <w:r w:rsidR="00C2753D">
              <w:rPr>
                <w:sz w:val="20"/>
                <w:szCs w:val="20"/>
              </w:rPr>
              <w:t>that receive</w:t>
            </w:r>
            <w:r>
              <w:rPr>
                <w:sz w:val="20"/>
                <w:szCs w:val="20"/>
              </w:rPr>
              <w:t xml:space="preserve"> follow up </w:t>
            </w:r>
            <w:r w:rsidR="00C2753D">
              <w:rPr>
                <w:sz w:val="20"/>
                <w:szCs w:val="20"/>
              </w:rPr>
              <w:t xml:space="preserve">psychiatrist </w:t>
            </w:r>
            <w:r w:rsidR="00910D75">
              <w:rPr>
                <w:sz w:val="20"/>
                <w:szCs w:val="20"/>
              </w:rPr>
              <w:t xml:space="preserve">contact </w:t>
            </w:r>
            <w:r>
              <w:rPr>
                <w:sz w:val="20"/>
                <w:szCs w:val="20"/>
              </w:rPr>
              <w:t>within 7 days of discharge</w:t>
            </w:r>
            <w:r w:rsidR="00766DA0">
              <w:rPr>
                <w:sz w:val="20"/>
                <w:szCs w:val="20"/>
              </w:rPr>
              <w:t>, and increase</w:t>
            </w:r>
            <w:r w:rsidR="00C2753D">
              <w:rPr>
                <w:sz w:val="20"/>
                <w:szCs w:val="20"/>
              </w:rPr>
              <w:t xml:space="preserve"> by 10% over baseline</w:t>
            </w:r>
            <w:r>
              <w:rPr>
                <w:sz w:val="20"/>
                <w:szCs w:val="20"/>
              </w:rPr>
              <w:t>.</w:t>
            </w:r>
          </w:p>
          <w:p w:rsidR="006C00AB" w:rsidRPr="006606F9" w:rsidRDefault="006C00AB" w:rsidP="00C2753D">
            <w:pPr>
              <w:pStyle w:val="ListParagraph"/>
              <w:ind w:left="1080" w:hanging="360"/>
              <w:jc w:val="both"/>
              <w:rPr>
                <w:sz w:val="20"/>
                <w:szCs w:val="20"/>
              </w:rPr>
            </w:pPr>
            <w:r>
              <w:rPr>
                <w:sz w:val="20"/>
                <w:szCs w:val="20"/>
              </w:rPr>
              <w:t xml:space="preserve">b.  </w:t>
            </w:r>
            <w:r w:rsidR="0090585D">
              <w:rPr>
                <w:sz w:val="20"/>
                <w:szCs w:val="20"/>
              </w:rPr>
              <w:t xml:space="preserve"> </w:t>
            </w:r>
            <w:r w:rsidR="00C2753D">
              <w:rPr>
                <w:sz w:val="20"/>
                <w:szCs w:val="20"/>
              </w:rPr>
              <w:t xml:space="preserve">Establish a baseline of </w:t>
            </w:r>
            <w:r>
              <w:rPr>
                <w:sz w:val="20"/>
                <w:szCs w:val="20"/>
              </w:rPr>
              <w:t xml:space="preserve">Youth clients </w:t>
            </w:r>
            <w:r w:rsidR="00C2753D">
              <w:rPr>
                <w:sz w:val="20"/>
                <w:szCs w:val="20"/>
              </w:rPr>
              <w:t>that</w:t>
            </w:r>
            <w:r>
              <w:rPr>
                <w:sz w:val="20"/>
                <w:szCs w:val="20"/>
              </w:rPr>
              <w:t xml:space="preserve"> receive follow up </w:t>
            </w:r>
            <w:r w:rsidR="00C2753D">
              <w:rPr>
                <w:sz w:val="20"/>
                <w:szCs w:val="20"/>
              </w:rPr>
              <w:t xml:space="preserve">psychiatrist </w:t>
            </w:r>
            <w:r w:rsidR="00910D75">
              <w:rPr>
                <w:sz w:val="20"/>
                <w:szCs w:val="20"/>
              </w:rPr>
              <w:t xml:space="preserve">contact </w:t>
            </w:r>
            <w:r>
              <w:rPr>
                <w:sz w:val="20"/>
                <w:szCs w:val="20"/>
              </w:rPr>
              <w:t>within 14 days of discharge</w:t>
            </w:r>
            <w:r w:rsidR="00766DA0">
              <w:rPr>
                <w:sz w:val="20"/>
                <w:szCs w:val="20"/>
              </w:rPr>
              <w:t>, and increase</w:t>
            </w:r>
            <w:r w:rsidR="00C2753D">
              <w:rPr>
                <w:sz w:val="20"/>
                <w:szCs w:val="20"/>
              </w:rPr>
              <w:t xml:space="preserve"> by 10% over baseline</w:t>
            </w:r>
            <w:r>
              <w:rPr>
                <w:sz w:val="20"/>
                <w:szCs w:val="20"/>
              </w:rPr>
              <w:t>.</w:t>
            </w:r>
          </w:p>
        </w:tc>
        <w:tc>
          <w:tcPr>
            <w:tcW w:w="3330" w:type="dxa"/>
          </w:tcPr>
          <w:p w:rsidR="00163C44" w:rsidRPr="0090585D" w:rsidRDefault="006C00AB" w:rsidP="009D366B">
            <w:pPr>
              <w:ind w:left="259" w:hanging="187"/>
              <w:jc w:val="both"/>
              <w:rPr>
                <w:sz w:val="18"/>
                <w:szCs w:val="18"/>
              </w:rPr>
            </w:pPr>
            <w:r w:rsidRPr="0090585D">
              <w:rPr>
                <w:sz w:val="18"/>
                <w:szCs w:val="18"/>
              </w:rPr>
              <w:t>a. &amp; b. Client discharge date, discharge plan and appointment date will be gathered from Urgent Care Database to determine length of time for follow up discharge contact.</w:t>
            </w:r>
          </w:p>
        </w:tc>
      </w:tr>
    </w:tbl>
    <w:p w:rsidR="002D2526" w:rsidRPr="006606F9" w:rsidRDefault="002D2526" w:rsidP="00644208">
      <w:pPr>
        <w:spacing w:after="0"/>
        <w:jc w:val="both"/>
        <w:rPr>
          <w:b/>
          <w:sz w:val="20"/>
          <w:szCs w:val="20"/>
        </w:rPr>
      </w:pPr>
    </w:p>
    <w:p w:rsidR="002D2526" w:rsidRDefault="002D2526">
      <w:pPr>
        <w:rPr>
          <w:b/>
          <w:sz w:val="24"/>
          <w:szCs w:val="24"/>
        </w:rPr>
      </w:pPr>
      <w:r>
        <w:rPr>
          <w:b/>
          <w:sz w:val="24"/>
          <w:szCs w:val="24"/>
        </w:rPr>
        <w:br w:type="page"/>
      </w:r>
    </w:p>
    <w:p w:rsidR="0010320B" w:rsidRDefault="0010320B" w:rsidP="002F5C60">
      <w:pPr>
        <w:spacing w:after="0"/>
        <w:rPr>
          <w:b/>
          <w:sz w:val="24"/>
          <w:szCs w:val="24"/>
        </w:rPr>
      </w:pPr>
    </w:p>
    <w:p w:rsidR="002F5C60" w:rsidRDefault="000B1166" w:rsidP="002F5C60">
      <w:pPr>
        <w:spacing w:after="0"/>
        <w:rPr>
          <w:b/>
          <w:sz w:val="24"/>
          <w:szCs w:val="24"/>
        </w:rPr>
      </w:pPr>
      <w:r w:rsidRPr="00176678">
        <w:rPr>
          <w:b/>
          <w:sz w:val="24"/>
          <w:szCs w:val="24"/>
        </w:rPr>
        <w:t>B</w:t>
      </w:r>
      <w:r w:rsidR="005C773F" w:rsidRPr="00176678">
        <w:rPr>
          <w:b/>
          <w:sz w:val="24"/>
          <w:szCs w:val="24"/>
        </w:rPr>
        <w:t>eneficiary Satisfaction</w:t>
      </w:r>
    </w:p>
    <w:tbl>
      <w:tblPr>
        <w:tblStyle w:val="TableGrid"/>
        <w:tblW w:w="0" w:type="auto"/>
        <w:tblLook w:val="04A0" w:firstRow="1" w:lastRow="0" w:firstColumn="1" w:lastColumn="0" w:noHBand="0" w:noVBand="1"/>
      </w:tblPr>
      <w:tblGrid>
        <w:gridCol w:w="9198"/>
        <w:gridCol w:w="3330"/>
      </w:tblGrid>
      <w:tr w:rsidR="00350CDE" w:rsidTr="00F75331">
        <w:tc>
          <w:tcPr>
            <w:tcW w:w="9198" w:type="dxa"/>
            <w:shd w:val="clear" w:color="auto" w:fill="BFBFBF" w:themeFill="background1" w:themeFillShade="BF"/>
          </w:tcPr>
          <w:p w:rsidR="00350CDE" w:rsidRDefault="00350CDE" w:rsidP="002F5C60">
            <w:pPr>
              <w:rPr>
                <w:b/>
                <w:sz w:val="24"/>
                <w:szCs w:val="24"/>
              </w:rPr>
            </w:pPr>
            <w:r w:rsidRPr="00176678">
              <w:rPr>
                <w:b/>
                <w:sz w:val="24"/>
                <w:szCs w:val="24"/>
              </w:rPr>
              <w:t>Goal</w:t>
            </w:r>
            <w:r>
              <w:rPr>
                <w:b/>
                <w:sz w:val="24"/>
                <w:szCs w:val="24"/>
              </w:rPr>
              <w:t xml:space="preserve"> 3</w:t>
            </w:r>
            <w:r w:rsidRPr="00176678">
              <w:rPr>
                <w:b/>
                <w:sz w:val="24"/>
                <w:szCs w:val="24"/>
              </w:rPr>
              <w:t>:</w:t>
            </w:r>
            <w:r w:rsidRPr="00F75331">
              <w:rPr>
                <w:b/>
                <w:sz w:val="24"/>
                <w:szCs w:val="24"/>
              </w:rPr>
              <w:t xml:space="preserve"> Provide a meaningful experience for individuals who receive mental health services in Shasta County.</w:t>
            </w:r>
          </w:p>
        </w:tc>
        <w:tc>
          <w:tcPr>
            <w:tcW w:w="3330" w:type="dxa"/>
            <w:shd w:val="clear" w:color="auto" w:fill="BFBFBF" w:themeFill="background1" w:themeFillShade="BF"/>
          </w:tcPr>
          <w:p w:rsidR="00350CDE" w:rsidRPr="00176678" w:rsidRDefault="00350CDE" w:rsidP="002F5C60">
            <w:pPr>
              <w:rPr>
                <w:b/>
                <w:sz w:val="24"/>
                <w:szCs w:val="24"/>
              </w:rPr>
            </w:pPr>
            <w:r>
              <w:rPr>
                <w:b/>
                <w:sz w:val="24"/>
                <w:szCs w:val="24"/>
              </w:rPr>
              <w:t>Processes to Evaluate</w:t>
            </w:r>
          </w:p>
        </w:tc>
      </w:tr>
      <w:tr w:rsidR="00350CDE" w:rsidTr="00F75331">
        <w:tc>
          <w:tcPr>
            <w:tcW w:w="9198" w:type="dxa"/>
          </w:tcPr>
          <w:p w:rsidR="00350CDE" w:rsidRPr="00176678" w:rsidRDefault="00350CDE" w:rsidP="002D2526">
            <w:pPr>
              <w:jc w:val="both"/>
              <w:rPr>
                <w:b/>
                <w:sz w:val="24"/>
                <w:szCs w:val="24"/>
              </w:rPr>
            </w:pPr>
            <w:r w:rsidRPr="00176678">
              <w:rPr>
                <w:b/>
                <w:sz w:val="24"/>
                <w:szCs w:val="24"/>
              </w:rPr>
              <w:t xml:space="preserve">Objectives: </w:t>
            </w:r>
          </w:p>
          <w:p w:rsidR="00163C44" w:rsidRPr="00185259" w:rsidRDefault="00163C44" w:rsidP="00163C44">
            <w:pPr>
              <w:pStyle w:val="ListParagraph"/>
              <w:numPr>
                <w:ilvl w:val="0"/>
                <w:numId w:val="27"/>
              </w:numPr>
              <w:jc w:val="both"/>
              <w:rPr>
                <w:sz w:val="20"/>
                <w:szCs w:val="20"/>
              </w:rPr>
            </w:pPr>
            <w:r w:rsidRPr="00185259">
              <w:rPr>
                <w:sz w:val="20"/>
                <w:szCs w:val="20"/>
              </w:rPr>
              <w:t>Conduct client satisfaction surveys</w:t>
            </w:r>
            <w:r>
              <w:rPr>
                <w:sz w:val="20"/>
                <w:szCs w:val="20"/>
              </w:rPr>
              <w:t xml:space="preserve"> (POQI)</w:t>
            </w:r>
            <w:r w:rsidRPr="00185259">
              <w:rPr>
                <w:sz w:val="20"/>
                <w:szCs w:val="20"/>
              </w:rPr>
              <w:t xml:space="preserve"> annually as required by D</w:t>
            </w:r>
            <w:r>
              <w:rPr>
                <w:sz w:val="20"/>
                <w:szCs w:val="20"/>
              </w:rPr>
              <w:t>HCS.</w:t>
            </w:r>
          </w:p>
          <w:p w:rsidR="00163C44" w:rsidRPr="00185259" w:rsidRDefault="00163C44" w:rsidP="00163C44">
            <w:pPr>
              <w:pStyle w:val="ListParagraph"/>
              <w:jc w:val="both"/>
              <w:rPr>
                <w:b/>
                <w:sz w:val="20"/>
                <w:szCs w:val="20"/>
              </w:rPr>
            </w:pPr>
            <w:r w:rsidRPr="00185259">
              <w:rPr>
                <w:b/>
                <w:sz w:val="20"/>
                <w:szCs w:val="20"/>
              </w:rPr>
              <w:t>Measurement:</w:t>
            </w:r>
          </w:p>
          <w:p w:rsidR="00163C44" w:rsidRDefault="00163C44" w:rsidP="00163C44">
            <w:pPr>
              <w:pStyle w:val="ListParagraph"/>
              <w:numPr>
                <w:ilvl w:val="1"/>
                <w:numId w:val="27"/>
              </w:numPr>
              <w:jc w:val="both"/>
              <w:rPr>
                <w:sz w:val="20"/>
                <w:szCs w:val="20"/>
              </w:rPr>
            </w:pPr>
            <w:r>
              <w:rPr>
                <w:sz w:val="20"/>
                <w:szCs w:val="20"/>
              </w:rPr>
              <w:t>Evaluate POQI</w:t>
            </w:r>
            <w:r w:rsidRPr="00185259">
              <w:rPr>
                <w:sz w:val="20"/>
                <w:szCs w:val="20"/>
              </w:rPr>
              <w:t xml:space="preserve"> </w:t>
            </w:r>
            <w:r>
              <w:rPr>
                <w:sz w:val="20"/>
                <w:szCs w:val="20"/>
              </w:rPr>
              <w:t>2012</w:t>
            </w:r>
            <w:r w:rsidRPr="00185259">
              <w:rPr>
                <w:sz w:val="20"/>
                <w:szCs w:val="20"/>
              </w:rPr>
              <w:t xml:space="preserve"> survey results and imp</w:t>
            </w:r>
            <w:r>
              <w:rPr>
                <w:sz w:val="20"/>
                <w:szCs w:val="20"/>
              </w:rPr>
              <w:t xml:space="preserve">rove client satisfaction by 10% of the difference between 2012 baseline and the goal of 95% that Agree or Strongly Agree in: </w:t>
            </w:r>
          </w:p>
          <w:p w:rsidR="00163C44" w:rsidRPr="00DC457E" w:rsidRDefault="00163C44" w:rsidP="00163C44">
            <w:pPr>
              <w:ind w:left="1080"/>
              <w:jc w:val="both"/>
              <w:rPr>
                <w:sz w:val="20"/>
                <w:szCs w:val="20"/>
              </w:rPr>
            </w:pPr>
            <w:r>
              <w:rPr>
                <w:sz w:val="20"/>
                <w:szCs w:val="20"/>
              </w:rPr>
              <w:t>Adult</w:t>
            </w:r>
          </w:p>
          <w:p w:rsidR="00163C44" w:rsidRDefault="00163C44" w:rsidP="00163C44">
            <w:pPr>
              <w:pStyle w:val="ListParagraph"/>
              <w:ind w:left="1440"/>
              <w:jc w:val="both"/>
              <w:rPr>
                <w:sz w:val="20"/>
                <w:szCs w:val="20"/>
              </w:rPr>
            </w:pPr>
            <w:r>
              <w:rPr>
                <w:sz w:val="20"/>
                <w:szCs w:val="20"/>
              </w:rPr>
              <w:t>1. “I like the services that I received here”.</w:t>
            </w:r>
          </w:p>
          <w:p w:rsidR="00163C44" w:rsidRDefault="00163C44" w:rsidP="00163C44">
            <w:pPr>
              <w:pStyle w:val="ListParagraph"/>
              <w:ind w:left="1440"/>
              <w:jc w:val="both"/>
              <w:rPr>
                <w:sz w:val="20"/>
                <w:szCs w:val="20"/>
              </w:rPr>
            </w:pPr>
            <w:r>
              <w:rPr>
                <w:sz w:val="20"/>
                <w:szCs w:val="20"/>
              </w:rPr>
              <w:t>2. “I was able to get all the services I thought I needed”.</w:t>
            </w:r>
          </w:p>
          <w:p w:rsidR="00163C44" w:rsidRDefault="00163C44" w:rsidP="00163C44">
            <w:pPr>
              <w:pStyle w:val="ListParagraph"/>
              <w:ind w:left="1080"/>
              <w:jc w:val="both"/>
              <w:rPr>
                <w:sz w:val="20"/>
                <w:szCs w:val="20"/>
              </w:rPr>
            </w:pPr>
            <w:r>
              <w:rPr>
                <w:sz w:val="20"/>
                <w:szCs w:val="20"/>
              </w:rPr>
              <w:t>Youth</w:t>
            </w:r>
          </w:p>
          <w:p w:rsidR="00163C44" w:rsidRDefault="00163C44" w:rsidP="00163C44">
            <w:pPr>
              <w:pStyle w:val="ListParagraph"/>
              <w:ind w:left="1440"/>
              <w:jc w:val="both"/>
              <w:rPr>
                <w:sz w:val="20"/>
                <w:szCs w:val="20"/>
              </w:rPr>
            </w:pPr>
            <w:r>
              <w:rPr>
                <w:sz w:val="20"/>
                <w:szCs w:val="20"/>
              </w:rPr>
              <w:t>1. “Overall, I am satisfied with the services</w:t>
            </w:r>
            <w:r w:rsidR="003806CD">
              <w:rPr>
                <w:sz w:val="20"/>
                <w:szCs w:val="20"/>
              </w:rPr>
              <w:t xml:space="preserve"> I</w:t>
            </w:r>
            <w:r>
              <w:rPr>
                <w:sz w:val="20"/>
                <w:szCs w:val="20"/>
              </w:rPr>
              <w:t xml:space="preserve"> received”.</w:t>
            </w:r>
          </w:p>
          <w:p w:rsidR="00AB3F48" w:rsidRDefault="00AB3F48" w:rsidP="00163C44">
            <w:pPr>
              <w:pStyle w:val="ListParagraph"/>
              <w:ind w:left="1440"/>
              <w:jc w:val="both"/>
              <w:rPr>
                <w:sz w:val="20"/>
                <w:szCs w:val="20"/>
              </w:rPr>
            </w:pPr>
            <w:r>
              <w:rPr>
                <w:sz w:val="20"/>
                <w:szCs w:val="20"/>
              </w:rPr>
              <w:t>2.  “I got as much help as I needed.”</w:t>
            </w:r>
          </w:p>
          <w:p w:rsidR="00AB3F48" w:rsidRPr="00AB3F48" w:rsidRDefault="00AB3F48" w:rsidP="00AB3F48">
            <w:pPr>
              <w:ind w:firstLine="1080"/>
              <w:jc w:val="both"/>
              <w:rPr>
                <w:sz w:val="20"/>
                <w:szCs w:val="20"/>
              </w:rPr>
            </w:pPr>
            <w:r>
              <w:rPr>
                <w:sz w:val="20"/>
                <w:szCs w:val="20"/>
              </w:rPr>
              <w:t>Youth Caregiver</w:t>
            </w:r>
          </w:p>
          <w:p w:rsidR="00163C44" w:rsidRDefault="00AB3F48" w:rsidP="00163C44">
            <w:pPr>
              <w:pStyle w:val="ListParagraph"/>
              <w:ind w:left="1440"/>
              <w:jc w:val="both"/>
              <w:rPr>
                <w:sz w:val="20"/>
                <w:szCs w:val="20"/>
              </w:rPr>
            </w:pPr>
            <w:r>
              <w:rPr>
                <w:sz w:val="20"/>
                <w:szCs w:val="20"/>
              </w:rPr>
              <w:t>1</w:t>
            </w:r>
            <w:r w:rsidR="00163C44">
              <w:rPr>
                <w:sz w:val="20"/>
                <w:szCs w:val="20"/>
              </w:rPr>
              <w:t>. “</w:t>
            </w:r>
            <w:r w:rsidR="003806CD">
              <w:rPr>
                <w:sz w:val="20"/>
                <w:szCs w:val="20"/>
              </w:rPr>
              <w:t>My family got as much help as we needed for my child”</w:t>
            </w:r>
          </w:p>
          <w:p w:rsidR="00350CDE" w:rsidRPr="00163C44" w:rsidRDefault="00163C44" w:rsidP="00C52889">
            <w:pPr>
              <w:ind w:left="1440" w:hanging="360"/>
              <w:jc w:val="both"/>
              <w:rPr>
                <w:b/>
                <w:sz w:val="24"/>
                <w:szCs w:val="24"/>
              </w:rPr>
            </w:pPr>
            <w:r>
              <w:rPr>
                <w:sz w:val="20"/>
                <w:szCs w:val="20"/>
              </w:rPr>
              <w:t>b.</w:t>
            </w:r>
            <w:r w:rsidR="00C52889">
              <w:rPr>
                <w:sz w:val="20"/>
                <w:szCs w:val="20"/>
              </w:rPr>
              <w:t xml:space="preserve"> </w:t>
            </w:r>
            <w:r w:rsidRPr="00C52889">
              <w:rPr>
                <w:sz w:val="20"/>
                <w:szCs w:val="20"/>
              </w:rPr>
              <w:t xml:space="preserve">Client participation and response rate to annual POQI surveys will increase by 10% for each subsequent year from August 2012 survey results.  </w:t>
            </w:r>
          </w:p>
        </w:tc>
        <w:tc>
          <w:tcPr>
            <w:tcW w:w="3330" w:type="dxa"/>
          </w:tcPr>
          <w:p w:rsidR="00350CDE" w:rsidRDefault="009D366B" w:rsidP="00321ADD">
            <w:pPr>
              <w:ind w:left="259" w:hanging="187"/>
              <w:jc w:val="both"/>
              <w:rPr>
                <w:sz w:val="18"/>
                <w:szCs w:val="18"/>
              </w:rPr>
            </w:pPr>
            <w:r w:rsidRPr="00321ADD">
              <w:rPr>
                <w:sz w:val="18"/>
                <w:szCs w:val="18"/>
              </w:rPr>
              <w:t xml:space="preserve">a. </w:t>
            </w:r>
            <w:r w:rsidR="00755FBC">
              <w:rPr>
                <w:sz w:val="18"/>
                <w:szCs w:val="18"/>
              </w:rPr>
              <w:t>Distribution of responses to s</w:t>
            </w:r>
            <w:r w:rsidRPr="00321ADD">
              <w:rPr>
                <w:sz w:val="18"/>
                <w:szCs w:val="18"/>
              </w:rPr>
              <w:t xml:space="preserve">elected </w:t>
            </w:r>
            <w:r w:rsidR="00755FBC">
              <w:rPr>
                <w:sz w:val="18"/>
                <w:szCs w:val="18"/>
              </w:rPr>
              <w:t xml:space="preserve">questions </w:t>
            </w:r>
            <w:r w:rsidRPr="00321ADD">
              <w:rPr>
                <w:sz w:val="18"/>
                <w:szCs w:val="18"/>
              </w:rPr>
              <w:t>from annual POQI surveys will be compared to 2012 baseline.</w:t>
            </w:r>
          </w:p>
          <w:p w:rsidR="003F62CD" w:rsidRDefault="003F62CD" w:rsidP="003F62CD">
            <w:pPr>
              <w:jc w:val="both"/>
              <w:rPr>
                <w:sz w:val="18"/>
                <w:szCs w:val="18"/>
              </w:rPr>
            </w:pPr>
          </w:p>
          <w:p w:rsidR="003F62CD" w:rsidRDefault="003F62CD" w:rsidP="003F62CD">
            <w:pPr>
              <w:jc w:val="both"/>
              <w:rPr>
                <w:sz w:val="18"/>
                <w:szCs w:val="18"/>
              </w:rPr>
            </w:pPr>
          </w:p>
          <w:p w:rsidR="003F62CD" w:rsidRDefault="003F62CD" w:rsidP="003F62CD">
            <w:pPr>
              <w:jc w:val="both"/>
              <w:rPr>
                <w:sz w:val="18"/>
                <w:szCs w:val="18"/>
              </w:rPr>
            </w:pPr>
          </w:p>
          <w:p w:rsidR="003F62CD" w:rsidRDefault="003F62CD" w:rsidP="003F62CD">
            <w:pPr>
              <w:jc w:val="both"/>
              <w:rPr>
                <w:sz w:val="18"/>
                <w:szCs w:val="18"/>
              </w:rPr>
            </w:pPr>
          </w:p>
          <w:p w:rsidR="003F62CD" w:rsidRDefault="003F62CD" w:rsidP="003F62CD">
            <w:pPr>
              <w:jc w:val="both"/>
              <w:rPr>
                <w:sz w:val="18"/>
                <w:szCs w:val="18"/>
              </w:rPr>
            </w:pPr>
          </w:p>
          <w:p w:rsidR="003F62CD" w:rsidRDefault="003F62CD" w:rsidP="003F62CD">
            <w:pPr>
              <w:jc w:val="both"/>
              <w:rPr>
                <w:sz w:val="18"/>
                <w:szCs w:val="18"/>
              </w:rPr>
            </w:pPr>
          </w:p>
          <w:p w:rsidR="003F62CD" w:rsidRPr="00321ADD" w:rsidRDefault="003F62CD" w:rsidP="003F62CD">
            <w:pPr>
              <w:jc w:val="both"/>
              <w:rPr>
                <w:sz w:val="18"/>
                <w:szCs w:val="18"/>
              </w:rPr>
            </w:pPr>
          </w:p>
          <w:p w:rsidR="009D366B" w:rsidRPr="00176678" w:rsidRDefault="009D366B" w:rsidP="00321ADD">
            <w:pPr>
              <w:ind w:left="259" w:hanging="187"/>
              <w:jc w:val="both"/>
              <w:rPr>
                <w:b/>
                <w:sz w:val="24"/>
                <w:szCs w:val="24"/>
              </w:rPr>
            </w:pPr>
            <w:r w:rsidRPr="00321ADD">
              <w:rPr>
                <w:sz w:val="18"/>
                <w:szCs w:val="18"/>
              </w:rPr>
              <w:t>b. Count of participants in annual POQI surveys will be compared to 2012 baseline</w:t>
            </w:r>
            <w:r>
              <w:rPr>
                <w:b/>
                <w:sz w:val="24"/>
                <w:szCs w:val="24"/>
              </w:rPr>
              <w:t>.</w:t>
            </w:r>
          </w:p>
        </w:tc>
      </w:tr>
      <w:tr w:rsidR="00545B7E" w:rsidTr="00AB3F48">
        <w:trPr>
          <w:trHeight w:val="1520"/>
        </w:trPr>
        <w:tc>
          <w:tcPr>
            <w:tcW w:w="9198" w:type="dxa"/>
          </w:tcPr>
          <w:p w:rsidR="00545B7E" w:rsidRPr="00185259" w:rsidRDefault="00545B7E" w:rsidP="00545B7E">
            <w:pPr>
              <w:pStyle w:val="ListParagraph"/>
              <w:numPr>
                <w:ilvl w:val="0"/>
                <w:numId w:val="27"/>
              </w:numPr>
              <w:jc w:val="both"/>
              <w:rPr>
                <w:sz w:val="20"/>
                <w:szCs w:val="20"/>
              </w:rPr>
            </w:pPr>
            <w:r>
              <w:rPr>
                <w:sz w:val="20"/>
                <w:szCs w:val="20"/>
              </w:rPr>
              <w:t xml:space="preserve">Conduct client satisfaction surveys on a regularly scheduled basis and include the adult, youth and organizational provider clients. </w:t>
            </w:r>
          </w:p>
          <w:p w:rsidR="00545B7E" w:rsidRPr="00185259" w:rsidRDefault="00545B7E" w:rsidP="00545B7E">
            <w:pPr>
              <w:ind w:left="720"/>
              <w:jc w:val="both"/>
              <w:rPr>
                <w:b/>
                <w:sz w:val="20"/>
                <w:szCs w:val="20"/>
              </w:rPr>
            </w:pPr>
            <w:r w:rsidRPr="00185259">
              <w:rPr>
                <w:b/>
                <w:sz w:val="20"/>
                <w:szCs w:val="20"/>
              </w:rPr>
              <w:t>Measurement:</w:t>
            </w:r>
          </w:p>
          <w:p w:rsidR="00545B7E" w:rsidRPr="009473D2" w:rsidRDefault="00545B7E" w:rsidP="00545B7E">
            <w:pPr>
              <w:pStyle w:val="ListParagraph"/>
              <w:numPr>
                <w:ilvl w:val="1"/>
                <w:numId w:val="27"/>
              </w:numPr>
              <w:jc w:val="both"/>
              <w:rPr>
                <w:sz w:val="20"/>
                <w:szCs w:val="20"/>
              </w:rPr>
            </w:pPr>
            <w:r>
              <w:rPr>
                <w:sz w:val="20"/>
                <w:szCs w:val="20"/>
              </w:rPr>
              <w:t>Client participation and response rate to ongoing Mental Health Services Act (MHSA) and Crisis Residential and Recovery Center (CRRC) surveys will increase by 10% from FY12/13 response rate.</w:t>
            </w:r>
          </w:p>
          <w:p w:rsidR="00545B7E" w:rsidRPr="00176678" w:rsidRDefault="00545B7E" w:rsidP="002D2526">
            <w:pPr>
              <w:jc w:val="both"/>
              <w:rPr>
                <w:b/>
                <w:sz w:val="24"/>
                <w:szCs w:val="24"/>
              </w:rPr>
            </w:pPr>
          </w:p>
        </w:tc>
        <w:tc>
          <w:tcPr>
            <w:tcW w:w="3330" w:type="dxa"/>
          </w:tcPr>
          <w:p w:rsidR="003F62CD" w:rsidRPr="00321ADD" w:rsidRDefault="003F62CD" w:rsidP="00755FBC">
            <w:pPr>
              <w:ind w:left="259" w:hanging="187"/>
              <w:jc w:val="both"/>
              <w:rPr>
                <w:sz w:val="18"/>
                <w:szCs w:val="18"/>
              </w:rPr>
            </w:pPr>
          </w:p>
          <w:p w:rsidR="00545B7E" w:rsidRPr="00176678" w:rsidRDefault="002641FB" w:rsidP="00755FBC">
            <w:pPr>
              <w:ind w:left="259" w:hanging="187"/>
              <w:jc w:val="both"/>
              <w:rPr>
                <w:b/>
                <w:sz w:val="24"/>
                <w:szCs w:val="24"/>
              </w:rPr>
            </w:pPr>
            <w:r>
              <w:rPr>
                <w:sz w:val="18"/>
                <w:szCs w:val="18"/>
              </w:rPr>
              <w:t>a</w:t>
            </w:r>
            <w:r w:rsidR="00755FBC" w:rsidRPr="00321ADD">
              <w:rPr>
                <w:sz w:val="18"/>
                <w:szCs w:val="18"/>
              </w:rPr>
              <w:t xml:space="preserve">. Count of participants in </w:t>
            </w:r>
            <w:r w:rsidR="00755FBC">
              <w:rPr>
                <w:sz w:val="18"/>
                <w:szCs w:val="18"/>
              </w:rPr>
              <w:t xml:space="preserve">ongoing MHSA and CRRC </w:t>
            </w:r>
            <w:r w:rsidR="00755FBC" w:rsidRPr="00321ADD">
              <w:rPr>
                <w:sz w:val="18"/>
                <w:szCs w:val="18"/>
              </w:rPr>
              <w:t xml:space="preserve">surveys will be compared to </w:t>
            </w:r>
            <w:r w:rsidR="00755FBC">
              <w:rPr>
                <w:sz w:val="18"/>
                <w:szCs w:val="18"/>
              </w:rPr>
              <w:t>FY</w:t>
            </w:r>
            <w:r w:rsidR="00755FBC" w:rsidRPr="00321ADD">
              <w:rPr>
                <w:sz w:val="18"/>
                <w:szCs w:val="18"/>
              </w:rPr>
              <w:t>12</w:t>
            </w:r>
            <w:r w:rsidR="00755FBC">
              <w:rPr>
                <w:sz w:val="18"/>
                <w:szCs w:val="18"/>
              </w:rPr>
              <w:t>/13</w:t>
            </w:r>
            <w:r w:rsidR="00755FBC" w:rsidRPr="00321ADD">
              <w:rPr>
                <w:sz w:val="18"/>
                <w:szCs w:val="18"/>
              </w:rPr>
              <w:t xml:space="preserve"> baseline</w:t>
            </w:r>
            <w:r w:rsidR="00755FBC">
              <w:rPr>
                <w:b/>
                <w:sz w:val="24"/>
                <w:szCs w:val="24"/>
              </w:rPr>
              <w:t>.</w:t>
            </w:r>
          </w:p>
        </w:tc>
      </w:tr>
      <w:tr w:rsidR="00545B7E" w:rsidTr="00F75331">
        <w:trPr>
          <w:trHeight w:val="1439"/>
        </w:trPr>
        <w:tc>
          <w:tcPr>
            <w:tcW w:w="9198" w:type="dxa"/>
          </w:tcPr>
          <w:p w:rsidR="00545B7E" w:rsidRPr="009473D2" w:rsidRDefault="00545B7E" w:rsidP="00545B7E">
            <w:pPr>
              <w:pStyle w:val="ListParagraph"/>
              <w:numPr>
                <w:ilvl w:val="0"/>
                <w:numId w:val="27"/>
              </w:numPr>
              <w:jc w:val="both"/>
              <w:rPr>
                <w:sz w:val="20"/>
                <w:szCs w:val="20"/>
              </w:rPr>
            </w:pPr>
            <w:r w:rsidRPr="009473D2">
              <w:rPr>
                <w:sz w:val="20"/>
                <w:szCs w:val="20"/>
              </w:rPr>
              <w:t>Timely resolution of all client grievances.</w:t>
            </w:r>
          </w:p>
          <w:p w:rsidR="00545B7E" w:rsidRPr="009473D2" w:rsidRDefault="00545B7E" w:rsidP="00545B7E">
            <w:pPr>
              <w:pStyle w:val="ListParagraph"/>
              <w:jc w:val="both"/>
              <w:rPr>
                <w:b/>
                <w:sz w:val="20"/>
                <w:szCs w:val="20"/>
              </w:rPr>
            </w:pPr>
            <w:r w:rsidRPr="009473D2">
              <w:rPr>
                <w:b/>
                <w:sz w:val="20"/>
                <w:szCs w:val="20"/>
              </w:rPr>
              <w:t>Measurement</w:t>
            </w:r>
          </w:p>
          <w:p w:rsidR="00545B7E" w:rsidRDefault="00545B7E" w:rsidP="00545B7E">
            <w:pPr>
              <w:pStyle w:val="ListParagraph"/>
              <w:numPr>
                <w:ilvl w:val="1"/>
                <w:numId w:val="27"/>
              </w:numPr>
              <w:spacing w:after="200" w:line="276" w:lineRule="auto"/>
              <w:jc w:val="both"/>
              <w:rPr>
                <w:sz w:val="20"/>
                <w:szCs w:val="20"/>
              </w:rPr>
            </w:pPr>
            <w:r>
              <w:rPr>
                <w:sz w:val="20"/>
                <w:szCs w:val="20"/>
              </w:rPr>
              <w:t>Ensure 100% of client grievances are appropriately resolved within 60 days, or within the 14 day extension if applicable.</w:t>
            </w:r>
          </w:p>
          <w:p w:rsidR="00545B7E" w:rsidRPr="0010320B" w:rsidRDefault="00545B7E" w:rsidP="006606F9">
            <w:pPr>
              <w:pStyle w:val="ListParagraph"/>
              <w:numPr>
                <w:ilvl w:val="1"/>
                <w:numId w:val="27"/>
              </w:numPr>
              <w:spacing w:after="200" w:line="276" w:lineRule="auto"/>
              <w:jc w:val="both"/>
              <w:rPr>
                <w:b/>
                <w:sz w:val="24"/>
                <w:szCs w:val="24"/>
              </w:rPr>
            </w:pPr>
            <w:r>
              <w:rPr>
                <w:sz w:val="20"/>
                <w:szCs w:val="20"/>
              </w:rPr>
              <w:t>Maintain FY11</w:t>
            </w:r>
            <w:r w:rsidR="001170A2">
              <w:rPr>
                <w:sz w:val="20"/>
                <w:szCs w:val="20"/>
              </w:rPr>
              <w:t>/</w:t>
            </w:r>
            <w:r>
              <w:rPr>
                <w:sz w:val="20"/>
                <w:szCs w:val="20"/>
              </w:rPr>
              <w:t>12 level of zero NOA-E’s issued.</w:t>
            </w:r>
          </w:p>
          <w:p w:rsidR="0010320B" w:rsidRPr="0010320B" w:rsidRDefault="0010320B" w:rsidP="0010320B">
            <w:pPr>
              <w:ind w:left="1080"/>
              <w:jc w:val="both"/>
              <w:rPr>
                <w:b/>
                <w:sz w:val="24"/>
                <w:szCs w:val="24"/>
              </w:rPr>
            </w:pPr>
          </w:p>
        </w:tc>
        <w:tc>
          <w:tcPr>
            <w:tcW w:w="3330" w:type="dxa"/>
          </w:tcPr>
          <w:p w:rsidR="00602DA0" w:rsidRPr="003F62CD" w:rsidRDefault="003F62CD" w:rsidP="00602DA0">
            <w:pPr>
              <w:pStyle w:val="ListParagraph"/>
              <w:numPr>
                <w:ilvl w:val="0"/>
                <w:numId w:val="59"/>
              </w:numPr>
              <w:ind w:left="259" w:hanging="187"/>
              <w:jc w:val="both"/>
              <w:rPr>
                <w:b/>
                <w:sz w:val="24"/>
                <w:szCs w:val="24"/>
              </w:rPr>
            </w:pPr>
            <w:r>
              <w:rPr>
                <w:sz w:val="18"/>
                <w:szCs w:val="18"/>
              </w:rPr>
              <w:t>Review grievance log to count the percent of grievances appropriately resolved within 60 days, or within the approved 14 day extension</w:t>
            </w:r>
          </w:p>
          <w:p w:rsidR="003F62CD" w:rsidRPr="003F62CD" w:rsidRDefault="003F62CD" w:rsidP="003F62CD">
            <w:pPr>
              <w:pStyle w:val="ListParagraph"/>
              <w:ind w:left="259"/>
              <w:jc w:val="both"/>
              <w:rPr>
                <w:b/>
                <w:sz w:val="24"/>
                <w:szCs w:val="24"/>
              </w:rPr>
            </w:pPr>
          </w:p>
          <w:p w:rsidR="003F62CD" w:rsidRPr="00602DA0" w:rsidRDefault="003F62CD" w:rsidP="00BB0832">
            <w:pPr>
              <w:pStyle w:val="ListParagraph"/>
              <w:numPr>
                <w:ilvl w:val="0"/>
                <w:numId w:val="59"/>
              </w:numPr>
              <w:ind w:left="259" w:hanging="187"/>
              <w:jc w:val="both"/>
              <w:rPr>
                <w:b/>
                <w:sz w:val="24"/>
                <w:szCs w:val="24"/>
              </w:rPr>
            </w:pPr>
            <w:r>
              <w:rPr>
                <w:sz w:val="18"/>
                <w:szCs w:val="18"/>
              </w:rPr>
              <w:t>Review NOA log to monitor t</w:t>
            </w:r>
            <w:r w:rsidR="00BB0832">
              <w:rPr>
                <w:sz w:val="18"/>
                <w:szCs w:val="18"/>
              </w:rPr>
              <w:t>h</w:t>
            </w:r>
            <w:r>
              <w:rPr>
                <w:sz w:val="18"/>
                <w:szCs w:val="18"/>
              </w:rPr>
              <w:t>e number of NOA-E’s issued.</w:t>
            </w:r>
          </w:p>
        </w:tc>
      </w:tr>
      <w:tr w:rsidR="00545B7E" w:rsidTr="00F75331">
        <w:tc>
          <w:tcPr>
            <w:tcW w:w="9198" w:type="dxa"/>
          </w:tcPr>
          <w:p w:rsidR="00545B7E" w:rsidRDefault="00545B7E" w:rsidP="00545B7E">
            <w:pPr>
              <w:pStyle w:val="ListParagraph"/>
              <w:numPr>
                <w:ilvl w:val="0"/>
                <w:numId w:val="27"/>
              </w:numPr>
              <w:jc w:val="both"/>
              <w:rPr>
                <w:sz w:val="20"/>
                <w:szCs w:val="20"/>
              </w:rPr>
            </w:pPr>
            <w:r w:rsidRPr="009473D2">
              <w:rPr>
                <w:sz w:val="20"/>
                <w:szCs w:val="20"/>
              </w:rPr>
              <w:lastRenderedPageBreak/>
              <w:t xml:space="preserve">Consumers and family members are employed </w:t>
            </w:r>
            <w:r>
              <w:rPr>
                <w:sz w:val="20"/>
                <w:szCs w:val="20"/>
              </w:rPr>
              <w:t>and/or volunteer in key roles throughout the MHP.</w:t>
            </w:r>
          </w:p>
          <w:p w:rsidR="00545B7E" w:rsidRDefault="00545B7E" w:rsidP="00545B7E">
            <w:pPr>
              <w:pStyle w:val="ListParagraph"/>
              <w:jc w:val="both"/>
              <w:rPr>
                <w:b/>
                <w:sz w:val="20"/>
                <w:szCs w:val="20"/>
              </w:rPr>
            </w:pPr>
            <w:r w:rsidRPr="00C707F2">
              <w:rPr>
                <w:b/>
                <w:sz w:val="20"/>
                <w:szCs w:val="20"/>
              </w:rPr>
              <w:t>Measurement</w:t>
            </w:r>
          </w:p>
          <w:p w:rsidR="00545B7E" w:rsidRPr="00545B7E" w:rsidRDefault="003F62CD" w:rsidP="003F62CD">
            <w:pPr>
              <w:pStyle w:val="ListParagraph"/>
              <w:numPr>
                <w:ilvl w:val="1"/>
                <w:numId w:val="27"/>
              </w:numPr>
              <w:jc w:val="both"/>
              <w:rPr>
                <w:b/>
                <w:sz w:val="24"/>
                <w:szCs w:val="24"/>
              </w:rPr>
            </w:pPr>
            <w:r>
              <w:rPr>
                <w:sz w:val="20"/>
                <w:szCs w:val="20"/>
              </w:rPr>
              <w:t>Maintain</w:t>
            </w:r>
            <w:r w:rsidR="00545B7E">
              <w:rPr>
                <w:sz w:val="20"/>
                <w:szCs w:val="20"/>
              </w:rPr>
              <w:t xml:space="preserve"> consumer and family member participation in MHP  committees,</w:t>
            </w:r>
            <w:r>
              <w:rPr>
                <w:sz w:val="20"/>
                <w:szCs w:val="20"/>
              </w:rPr>
              <w:t xml:space="preserve"> by attendance of a minimum of once per quarter,</w:t>
            </w:r>
            <w:r w:rsidR="00545B7E">
              <w:rPr>
                <w:sz w:val="20"/>
                <w:szCs w:val="20"/>
              </w:rPr>
              <w:t xml:space="preserve"> including the Mental Health Alcohol and Drug Advisory Board (MHADAB), Quality Improvement Committee (QIC), Advancing Recovery Performance Improvement Project</w:t>
            </w:r>
            <w:r w:rsidR="00941509">
              <w:rPr>
                <w:sz w:val="20"/>
                <w:szCs w:val="20"/>
              </w:rPr>
              <w:t xml:space="preserve"> (AR</w:t>
            </w:r>
            <w:r w:rsidR="0084680E">
              <w:rPr>
                <w:sz w:val="20"/>
                <w:szCs w:val="20"/>
              </w:rPr>
              <w:t>C</w:t>
            </w:r>
            <w:r w:rsidR="00941509">
              <w:rPr>
                <w:sz w:val="20"/>
                <w:szCs w:val="20"/>
              </w:rPr>
              <w:t>)</w:t>
            </w:r>
            <w:r w:rsidR="00545B7E">
              <w:rPr>
                <w:sz w:val="20"/>
                <w:szCs w:val="20"/>
              </w:rPr>
              <w:t xml:space="preserve">, </w:t>
            </w:r>
            <w:r>
              <w:rPr>
                <w:sz w:val="20"/>
                <w:szCs w:val="20"/>
              </w:rPr>
              <w:t xml:space="preserve">Triple P Performance Improvement Project, </w:t>
            </w:r>
            <w:r w:rsidR="00545B7E">
              <w:rPr>
                <w:sz w:val="20"/>
                <w:szCs w:val="20"/>
              </w:rPr>
              <w:t>and Cultural Competency Committee</w:t>
            </w:r>
            <w:r w:rsidR="00941509">
              <w:rPr>
                <w:sz w:val="20"/>
                <w:szCs w:val="20"/>
              </w:rPr>
              <w:t xml:space="preserve"> (CCC)</w:t>
            </w:r>
            <w:r>
              <w:rPr>
                <w:sz w:val="20"/>
                <w:szCs w:val="20"/>
              </w:rPr>
              <w:t>.</w:t>
            </w:r>
          </w:p>
        </w:tc>
        <w:tc>
          <w:tcPr>
            <w:tcW w:w="3330" w:type="dxa"/>
          </w:tcPr>
          <w:p w:rsidR="00545B7E" w:rsidRPr="002C3801" w:rsidRDefault="002C3801" w:rsidP="00031FBF">
            <w:pPr>
              <w:ind w:left="342" w:hanging="342"/>
              <w:jc w:val="both"/>
              <w:rPr>
                <w:sz w:val="18"/>
                <w:szCs w:val="18"/>
              </w:rPr>
            </w:pPr>
            <w:r>
              <w:rPr>
                <w:sz w:val="18"/>
                <w:szCs w:val="18"/>
              </w:rPr>
              <w:t>a. Facilitator of each group will be surveyed on a quarterly basis to determine committee participation in the last 3 months.</w:t>
            </w:r>
          </w:p>
        </w:tc>
      </w:tr>
      <w:tr w:rsidR="00545B7E" w:rsidTr="00F75331">
        <w:tc>
          <w:tcPr>
            <w:tcW w:w="9198" w:type="dxa"/>
          </w:tcPr>
          <w:p w:rsidR="00545B7E" w:rsidRDefault="00545B7E" w:rsidP="00545B7E">
            <w:pPr>
              <w:pStyle w:val="ListParagraph"/>
              <w:numPr>
                <w:ilvl w:val="0"/>
                <w:numId w:val="27"/>
              </w:numPr>
              <w:jc w:val="both"/>
              <w:rPr>
                <w:sz w:val="20"/>
                <w:szCs w:val="20"/>
              </w:rPr>
            </w:pPr>
            <w:r>
              <w:rPr>
                <w:sz w:val="20"/>
                <w:szCs w:val="20"/>
              </w:rPr>
              <w:t xml:space="preserve">Implement MORS throughout Adult Services as a recovery measurement tool. </w:t>
            </w:r>
          </w:p>
          <w:p w:rsidR="00545B7E" w:rsidRPr="00831492" w:rsidRDefault="00545B7E" w:rsidP="00545B7E">
            <w:pPr>
              <w:ind w:left="360"/>
              <w:jc w:val="both"/>
              <w:rPr>
                <w:b/>
                <w:sz w:val="20"/>
                <w:szCs w:val="20"/>
              </w:rPr>
            </w:pPr>
            <w:r w:rsidRPr="00831492">
              <w:rPr>
                <w:b/>
                <w:sz w:val="20"/>
                <w:szCs w:val="20"/>
              </w:rPr>
              <w:t>Measurement:</w:t>
            </w:r>
          </w:p>
          <w:p w:rsidR="00545B7E" w:rsidRPr="00176678" w:rsidRDefault="00545B7E" w:rsidP="00545B7E">
            <w:pPr>
              <w:ind w:left="1440" w:hanging="360"/>
              <w:jc w:val="both"/>
              <w:rPr>
                <w:b/>
                <w:sz w:val="24"/>
                <w:szCs w:val="24"/>
              </w:rPr>
            </w:pPr>
            <w:proofErr w:type="gramStart"/>
            <w:r>
              <w:rPr>
                <w:sz w:val="20"/>
                <w:szCs w:val="20"/>
              </w:rPr>
              <w:t xml:space="preserve">a.  </w:t>
            </w:r>
            <w:r w:rsidR="002641FB">
              <w:rPr>
                <w:sz w:val="20"/>
                <w:szCs w:val="20"/>
              </w:rPr>
              <w:t>Upon</w:t>
            </w:r>
            <w:proofErr w:type="gramEnd"/>
            <w:r w:rsidR="002641FB">
              <w:rPr>
                <w:sz w:val="20"/>
                <w:szCs w:val="20"/>
              </w:rPr>
              <w:t xml:space="preserve"> implementation of MORS, 90% of adult clients </w:t>
            </w:r>
            <w:r w:rsidR="00E27742">
              <w:rPr>
                <w:sz w:val="20"/>
                <w:szCs w:val="20"/>
              </w:rPr>
              <w:t xml:space="preserve">participating in the Advancing Recovery (ARC) Performance Improvement Project </w:t>
            </w:r>
            <w:r w:rsidR="002641FB">
              <w:rPr>
                <w:sz w:val="20"/>
                <w:szCs w:val="20"/>
              </w:rPr>
              <w:t>will receive a MORS assessment at least quarterly.</w:t>
            </w:r>
          </w:p>
        </w:tc>
        <w:tc>
          <w:tcPr>
            <w:tcW w:w="3330" w:type="dxa"/>
          </w:tcPr>
          <w:p w:rsidR="00545B7E" w:rsidRPr="00D66BD3" w:rsidRDefault="00031FBF" w:rsidP="00031FBF">
            <w:pPr>
              <w:ind w:left="342" w:hanging="342"/>
              <w:jc w:val="both"/>
              <w:rPr>
                <w:sz w:val="18"/>
                <w:szCs w:val="18"/>
              </w:rPr>
            </w:pPr>
            <w:r>
              <w:rPr>
                <w:sz w:val="18"/>
                <w:szCs w:val="18"/>
              </w:rPr>
              <w:t xml:space="preserve">a. </w:t>
            </w:r>
            <w:r w:rsidR="00AB3F48">
              <w:rPr>
                <w:sz w:val="18"/>
                <w:szCs w:val="18"/>
              </w:rPr>
              <w:t xml:space="preserve">Client </w:t>
            </w:r>
            <w:r w:rsidR="00E27742">
              <w:rPr>
                <w:sz w:val="18"/>
                <w:szCs w:val="18"/>
              </w:rPr>
              <w:t>information</w:t>
            </w:r>
            <w:r w:rsidR="00AB3F48">
              <w:rPr>
                <w:sz w:val="18"/>
                <w:szCs w:val="18"/>
              </w:rPr>
              <w:t xml:space="preserve"> will be reviewed to measure percentage that received quarterly MORS assessment.</w:t>
            </w:r>
          </w:p>
        </w:tc>
      </w:tr>
    </w:tbl>
    <w:p w:rsidR="002D2526" w:rsidRDefault="002D2526" w:rsidP="002F5C60">
      <w:pPr>
        <w:rPr>
          <w:b/>
          <w:sz w:val="24"/>
          <w:szCs w:val="24"/>
        </w:rPr>
      </w:pPr>
    </w:p>
    <w:p w:rsidR="002D2526" w:rsidRDefault="002D2526">
      <w:pPr>
        <w:rPr>
          <w:b/>
          <w:sz w:val="24"/>
          <w:szCs w:val="24"/>
        </w:rPr>
      </w:pPr>
      <w:r>
        <w:rPr>
          <w:b/>
          <w:sz w:val="24"/>
          <w:szCs w:val="24"/>
        </w:rPr>
        <w:br w:type="page"/>
      </w:r>
    </w:p>
    <w:p w:rsidR="005C773F" w:rsidRPr="00176678" w:rsidRDefault="005C773F" w:rsidP="005C773F">
      <w:pPr>
        <w:spacing w:after="0"/>
        <w:jc w:val="both"/>
        <w:rPr>
          <w:b/>
          <w:sz w:val="24"/>
          <w:szCs w:val="24"/>
        </w:rPr>
      </w:pPr>
      <w:r w:rsidRPr="00176678">
        <w:rPr>
          <w:b/>
          <w:sz w:val="24"/>
          <w:szCs w:val="24"/>
        </w:rPr>
        <w:lastRenderedPageBreak/>
        <w:t>Service Delivery System and Meaningful Clinical Issues</w:t>
      </w:r>
    </w:p>
    <w:tbl>
      <w:tblPr>
        <w:tblStyle w:val="TableGrid"/>
        <w:tblW w:w="0" w:type="auto"/>
        <w:tblLook w:val="04A0" w:firstRow="1" w:lastRow="0" w:firstColumn="1" w:lastColumn="0" w:noHBand="0" w:noVBand="1"/>
      </w:tblPr>
      <w:tblGrid>
        <w:gridCol w:w="9288"/>
        <w:gridCol w:w="3240"/>
      </w:tblGrid>
      <w:tr w:rsidR="00350CDE" w:rsidTr="00F75331">
        <w:tc>
          <w:tcPr>
            <w:tcW w:w="9288" w:type="dxa"/>
            <w:shd w:val="clear" w:color="auto" w:fill="BFBFBF" w:themeFill="background1" w:themeFillShade="BF"/>
          </w:tcPr>
          <w:p w:rsidR="00350CDE" w:rsidRPr="002D2526" w:rsidRDefault="00350CDE" w:rsidP="00484636">
            <w:pPr>
              <w:jc w:val="both"/>
              <w:rPr>
                <w:sz w:val="24"/>
                <w:szCs w:val="24"/>
              </w:rPr>
            </w:pPr>
            <w:r w:rsidRPr="00176678">
              <w:rPr>
                <w:b/>
                <w:sz w:val="24"/>
                <w:szCs w:val="24"/>
              </w:rPr>
              <w:t>Goal</w:t>
            </w:r>
            <w:r>
              <w:rPr>
                <w:b/>
                <w:sz w:val="24"/>
                <w:szCs w:val="24"/>
              </w:rPr>
              <w:t xml:space="preserve"> 4</w:t>
            </w:r>
            <w:r w:rsidRPr="00176678">
              <w:rPr>
                <w:b/>
                <w:sz w:val="24"/>
                <w:szCs w:val="24"/>
              </w:rPr>
              <w:t xml:space="preserve">: Develop an infrastructure of continuous quality improvement that </w:t>
            </w:r>
            <w:r>
              <w:rPr>
                <w:b/>
                <w:sz w:val="24"/>
                <w:szCs w:val="24"/>
              </w:rPr>
              <w:t>supports wellness and recovery in Shasta County.</w:t>
            </w:r>
          </w:p>
        </w:tc>
        <w:tc>
          <w:tcPr>
            <w:tcW w:w="3240" w:type="dxa"/>
            <w:shd w:val="clear" w:color="auto" w:fill="BFBFBF" w:themeFill="background1" w:themeFillShade="BF"/>
          </w:tcPr>
          <w:p w:rsidR="00350CDE" w:rsidRPr="00176678" w:rsidRDefault="00350CDE" w:rsidP="00484636">
            <w:pPr>
              <w:jc w:val="both"/>
              <w:rPr>
                <w:b/>
                <w:sz w:val="24"/>
                <w:szCs w:val="24"/>
              </w:rPr>
            </w:pPr>
            <w:r>
              <w:rPr>
                <w:b/>
                <w:sz w:val="24"/>
                <w:szCs w:val="24"/>
              </w:rPr>
              <w:t>Processes to Evaluate</w:t>
            </w:r>
          </w:p>
        </w:tc>
      </w:tr>
      <w:tr w:rsidR="00350CDE" w:rsidTr="00F75331">
        <w:tc>
          <w:tcPr>
            <w:tcW w:w="9288" w:type="dxa"/>
          </w:tcPr>
          <w:p w:rsidR="00350CDE" w:rsidRPr="00176678" w:rsidRDefault="00350CDE" w:rsidP="002D2526">
            <w:pPr>
              <w:jc w:val="both"/>
              <w:rPr>
                <w:b/>
                <w:sz w:val="24"/>
                <w:szCs w:val="24"/>
              </w:rPr>
            </w:pPr>
            <w:r w:rsidRPr="00176678">
              <w:rPr>
                <w:b/>
                <w:sz w:val="24"/>
                <w:szCs w:val="24"/>
              </w:rPr>
              <w:t>Objectives:</w:t>
            </w:r>
          </w:p>
          <w:p w:rsidR="00545B7E" w:rsidRDefault="00756386" w:rsidP="00ED2B63">
            <w:pPr>
              <w:pStyle w:val="ListParagraph"/>
              <w:ind w:hanging="360"/>
              <w:jc w:val="both"/>
              <w:rPr>
                <w:sz w:val="20"/>
                <w:szCs w:val="20"/>
              </w:rPr>
            </w:pPr>
            <w:r>
              <w:rPr>
                <w:sz w:val="20"/>
                <w:szCs w:val="20"/>
              </w:rPr>
              <w:t xml:space="preserve">1. </w:t>
            </w:r>
            <w:r w:rsidR="00ED2B63">
              <w:rPr>
                <w:sz w:val="20"/>
                <w:szCs w:val="20"/>
              </w:rPr>
              <w:t xml:space="preserve">   </w:t>
            </w:r>
            <w:r w:rsidR="00545B7E">
              <w:rPr>
                <w:sz w:val="20"/>
                <w:szCs w:val="20"/>
              </w:rPr>
              <w:t>Ensure that clinical practices are safe, effective and support wellness and recovery in Shasta County.</w:t>
            </w:r>
          </w:p>
          <w:p w:rsidR="00545B7E" w:rsidRPr="00093A9F" w:rsidRDefault="00545B7E" w:rsidP="00ED2B63">
            <w:pPr>
              <w:ind w:left="360" w:firstLine="360"/>
              <w:jc w:val="both"/>
              <w:rPr>
                <w:b/>
                <w:sz w:val="20"/>
                <w:szCs w:val="20"/>
              </w:rPr>
            </w:pPr>
            <w:r w:rsidRPr="00093A9F">
              <w:rPr>
                <w:b/>
                <w:sz w:val="20"/>
                <w:szCs w:val="20"/>
              </w:rPr>
              <w:t>Measurement:</w:t>
            </w:r>
          </w:p>
          <w:p w:rsidR="00545B7E" w:rsidRDefault="00545B7E" w:rsidP="00756386">
            <w:pPr>
              <w:pStyle w:val="ListParagraph"/>
              <w:numPr>
                <w:ilvl w:val="0"/>
                <w:numId w:val="48"/>
              </w:numPr>
              <w:jc w:val="both"/>
              <w:rPr>
                <w:sz w:val="20"/>
                <w:szCs w:val="20"/>
              </w:rPr>
            </w:pPr>
            <w:r>
              <w:rPr>
                <w:sz w:val="20"/>
                <w:szCs w:val="20"/>
              </w:rPr>
              <w:t xml:space="preserve">All </w:t>
            </w:r>
            <w:r w:rsidR="002C3801">
              <w:rPr>
                <w:sz w:val="20"/>
                <w:szCs w:val="20"/>
              </w:rPr>
              <w:t xml:space="preserve">newly hired </w:t>
            </w:r>
            <w:r>
              <w:rPr>
                <w:sz w:val="20"/>
                <w:szCs w:val="20"/>
              </w:rPr>
              <w:t>staff</w:t>
            </w:r>
            <w:r w:rsidR="002C3801">
              <w:rPr>
                <w:sz w:val="20"/>
                <w:szCs w:val="20"/>
              </w:rPr>
              <w:t>,</w:t>
            </w:r>
            <w:r>
              <w:rPr>
                <w:sz w:val="20"/>
                <w:szCs w:val="20"/>
              </w:rPr>
              <w:t xml:space="preserve"> </w:t>
            </w:r>
            <w:r w:rsidR="002C3801">
              <w:rPr>
                <w:sz w:val="20"/>
                <w:szCs w:val="20"/>
              </w:rPr>
              <w:t xml:space="preserve">in job specifications that require it, </w:t>
            </w:r>
            <w:r>
              <w:rPr>
                <w:sz w:val="20"/>
                <w:szCs w:val="20"/>
              </w:rPr>
              <w:t>will receive Core Skills training.</w:t>
            </w:r>
          </w:p>
          <w:p w:rsidR="00756386" w:rsidRPr="00756386" w:rsidRDefault="00EF22F5" w:rsidP="00756386">
            <w:pPr>
              <w:pStyle w:val="ListParagraph"/>
              <w:numPr>
                <w:ilvl w:val="0"/>
                <w:numId w:val="48"/>
              </w:numPr>
              <w:jc w:val="both"/>
              <w:rPr>
                <w:sz w:val="20"/>
                <w:szCs w:val="20"/>
              </w:rPr>
            </w:pPr>
            <w:r>
              <w:rPr>
                <w:sz w:val="20"/>
                <w:szCs w:val="20"/>
              </w:rPr>
              <w:t xml:space="preserve">  </w:t>
            </w:r>
            <w:r w:rsidR="00756386" w:rsidRPr="00EF22F5">
              <w:rPr>
                <w:sz w:val="20"/>
                <w:szCs w:val="20"/>
              </w:rPr>
              <w:t>Increase the percentage of Medi-Cal beneficiar</w:t>
            </w:r>
            <w:r w:rsidRPr="00EF22F5">
              <w:rPr>
                <w:sz w:val="20"/>
                <w:szCs w:val="20"/>
              </w:rPr>
              <w:t xml:space="preserve">ies with a physical activity (4.1%) </w:t>
            </w:r>
            <w:r w:rsidR="00910D75">
              <w:rPr>
                <w:sz w:val="20"/>
                <w:szCs w:val="20"/>
              </w:rPr>
              <w:t>and/</w:t>
            </w:r>
            <w:r w:rsidRPr="00EF22F5">
              <w:rPr>
                <w:sz w:val="20"/>
                <w:szCs w:val="20"/>
              </w:rPr>
              <w:t>or</w:t>
            </w:r>
            <w:r w:rsidR="00756386" w:rsidRPr="00EF22F5">
              <w:rPr>
                <w:sz w:val="20"/>
                <w:szCs w:val="20"/>
              </w:rPr>
              <w:t xml:space="preserve"> contac</w:t>
            </w:r>
            <w:r w:rsidRPr="00EF22F5">
              <w:rPr>
                <w:sz w:val="20"/>
                <w:szCs w:val="20"/>
              </w:rPr>
              <w:t>t with nature (1.1%) related objective</w:t>
            </w:r>
            <w:r w:rsidR="00756386" w:rsidRPr="00EF22F5">
              <w:rPr>
                <w:sz w:val="20"/>
                <w:szCs w:val="20"/>
              </w:rPr>
              <w:t xml:space="preserve"> included in their Treatment Plan by 10% from FY1213.</w:t>
            </w:r>
            <w:r w:rsidR="00756386">
              <w:rPr>
                <w:sz w:val="20"/>
                <w:szCs w:val="20"/>
              </w:rPr>
              <w:t xml:space="preserve">  </w:t>
            </w:r>
          </w:p>
        </w:tc>
        <w:tc>
          <w:tcPr>
            <w:tcW w:w="3240" w:type="dxa"/>
          </w:tcPr>
          <w:p w:rsidR="00350CDE" w:rsidRDefault="002C3801" w:rsidP="0046711B">
            <w:pPr>
              <w:ind w:left="252" w:hanging="180"/>
              <w:jc w:val="both"/>
              <w:rPr>
                <w:sz w:val="18"/>
                <w:szCs w:val="18"/>
              </w:rPr>
            </w:pPr>
            <w:proofErr w:type="gramStart"/>
            <w:r>
              <w:rPr>
                <w:sz w:val="18"/>
                <w:szCs w:val="18"/>
              </w:rPr>
              <w:t>a.  Review</w:t>
            </w:r>
            <w:proofErr w:type="gramEnd"/>
            <w:r>
              <w:rPr>
                <w:sz w:val="18"/>
                <w:szCs w:val="18"/>
              </w:rPr>
              <w:t xml:space="preserve"> HR database and attendance sheets to determine staff that received Core Skills training.</w:t>
            </w:r>
          </w:p>
          <w:p w:rsidR="002C3801" w:rsidRDefault="002C3801" w:rsidP="002D2526">
            <w:pPr>
              <w:jc w:val="both"/>
              <w:rPr>
                <w:sz w:val="18"/>
                <w:szCs w:val="18"/>
              </w:rPr>
            </w:pPr>
          </w:p>
          <w:p w:rsidR="002C3801" w:rsidRPr="002C3801" w:rsidRDefault="002C3801" w:rsidP="0046711B">
            <w:pPr>
              <w:ind w:left="342" w:hanging="270"/>
              <w:jc w:val="both"/>
              <w:rPr>
                <w:sz w:val="18"/>
                <w:szCs w:val="18"/>
              </w:rPr>
            </w:pPr>
            <w:proofErr w:type="gramStart"/>
            <w:r>
              <w:rPr>
                <w:sz w:val="18"/>
                <w:szCs w:val="18"/>
              </w:rPr>
              <w:t>b.  Treatment</w:t>
            </w:r>
            <w:proofErr w:type="gramEnd"/>
            <w:r>
              <w:rPr>
                <w:sz w:val="18"/>
                <w:szCs w:val="18"/>
              </w:rPr>
              <w:t xml:space="preserve"> plan review checklist will be used to determine percentage of treatment plans with a physical activity/nature related objective.</w:t>
            </w:r>
          </w:p>
        </w:tc>
      </w:tr>
      <w:tr w:rsidR="00545B7E" w:rsidTr="00F75331">
        <w:tc>
          <w:tcPr>
            <w:tcW w:w="9288" w:type="dxa"/>
          </w:tcPr>
          <w:p w:rsidR="00545B7E" w:rsidRPr="00ED2B63" w:rsidRDefault="00ED2B63" w:rsidP="00ED2B63">
            <w:pPr>
              <w:ind w:left="720" w:hanging="360"/>
              <w:jc w:val="both"/>
              <w:rPr>
                <w:b/>
                <w:sz w:val="20"/>
                <w:szCs w:val="20"/>
              </w:rPr>
            </w:pPr>
            <w:r>
              <w:rPr>
                <w:sz w:val="20"/>
                <w:szCs w:val="20"/>
              </w:rPr>
              <w:t xml:space="preserve">2.     </w:t>
            </w:r>
            <w:r w:rsidR="00545B7E" w:rsidRPr="00ED2B63">
              <w:rPr>
                <w:sz w:val="20"/>
                <w:szCs w:val="20"/>
              </w:rPr>
              <w:t>Utilize the two Performance Improvement Projects (PIPs) to improve wellness and recovery.</w:t>
            </w:r>
          </w:p>
          <w:p w:rsidR="00545B7E" w:rsidRPr="00093A9F" w:rsidRDefault="00545B7E" w:rsidP="00ED2B63">
            <w:pPr>
              <w:ind w:left="360" w:firstLine="360"/>
              <w:jc w:val="both"/>
              <w:rPr>
                <w:b/>
                <w:sz w:val="20"/>
                <w:szCs w:val="20"/>
              </w:rPr>
            </w:pPr>
            <w:r>
              <w:rPr>
                <w:b/>
                <w:sz w:val="20"/>
                <w:szCs w:val="20"/>
              </w:rPr>
              <w:t>Measurement</w:t>
            </w:r>
            <w:r w:rsidR="00F75331">
              <w:rPr>
                <w:b/>
                <w:sz w:val="20"/>
                <w:szCs w:val="20"/>
              </w:rPr>
              <w:t>:</w:t>
            </w:r>
          </w:p>
          <w:p w:rsidR="00545B7E" w:rsidRPr="009A6541" w:rsidRDefault="00545B7E" w:rsidP="00545B7E">
            <w:pPr>
              <w:pStyle w:val="ListParagraph"/>
              <w:numPr>
                <w:ilvl w:val="0"/>
                <w:numId w:val="49"/>
              </w:numPr>
              <w:spacing w:after="200" w:line="276" w:lineRule="auto"/>
              <w:jc w:val="both"/>
              <w:rPr>
                <w:b/>
                <w:sz w:val="20"/>
                <w:szCs w:val="20"/>
              </w:rPr>
            </w:pPr>
            <w:r>
              <w:rPr>
                <w:sz w:val="20"/>
                <w:szCs w:val="20"/>
              </w:rPr>
              <w:t xml:space="preserve">Ensure clients participating in the Advancing Recovery PIP demonstrate the following </w:t>
            </w:r>
            <w:r w:rsidR="00C05A53">
              <w:rPr>
                <w:sz w:val="20"/>
                <w:szCs w:val="20"/>
              </w:rPr>
              <w:t>objectives</w:t>
            </w:r>
            <w:r>
              <w:rPr>
                <w:sz w:val="20"/>
                <w:szCs w:val="20"/>
              </w:rPr>
              <w:t xml:space="preserve">: </w:t>
            </w:r>
          </w:p>
          <w:p w:rsidR="00C05A53" w:rsidRPr="009A6541" w:rsidRDefault="00C05A53" w:rsidP="009A6541">
            <w:pPr>
              <w:pStyle w:val="ListParagraph"/>
              <w:numPr>
                <w:ilvl w:val="0"/>
                <w:numId w:val="60"/>
              </w:numPr>
              <w:ind w:left="1440"/>
              <w:rPr>
                <w:sz w:val="20"/>
                <w:szCs w:val="24"/>
              </w:rPr>
            </w:pPr>
            <w:r w:rsidRPr="009A6541">
              <w:rPr>
                <w:sz w:val="20"/>
                <w:szCs w:val="24"/>
              </w:rPr>
              <w:t>At least 50% will be able to identify one family or community support</w:t>
            </w:r>
          </w:p>
          <w:p w:rsidR="00C05A53" w:rsidRDefault="00C05A53" w:rsidP="009A6541">
            <w:pPr>
              <w:pStyle w:val="ListParagraph"/>
              <w:numPr>
                <w:ilvl w:val="0"/>
                <w:numId w:val="60"/>
              </w:numPr>
              <w:ind w:left="1440"/>
              <w:rPr>
                <w:sz w:val="20"/>
                <w:szCs w:val="24"/>
              </w:rPr>
            </w:pPr>
            <w:r w:rsidRPr="009A6541">
              <w:rPr>
                <w:sz w:val="20"/>
                <w:szCs w:val="24"/>
              </w:rPr>
              <w:t xml:space="preserve">At least 30% will report participation in meaningful relationships </w:t>
            </w:r>
            <w:r w:rsidRPr="00C05A53">
              <w:rPr>
                <w:sz w:val="20"/>
                <w:szCs w:val="24"/>
              </w:rPr>
              <w:t>and/or activities when surveyed</w:t>
            </w:r>
          </w:p>
          <w:p w:rsidR="00C05A53" w:rsidRPr="009A6541" w:rsidRDefault="00C05A53" w:rsidP="009A6541">
            <w:pPr>
              <w:pStyle w:val="ListParagraph"/>
              <w:numPr>
                <w:ilvl w:val="0"/>
                <w:numId w:val="60"/>
              </w:numPr>
              <w:ind w:left="1440"/>
              <w:rPr>
                <w:sz w:val="20"/>
                <w:szCs w:val="24"/>
              </w:rPr>
            </w:pPr>
            <w:r w:rsidRPr="009A6541">
              <w:rPr>
                <w:sz w:val="20"/>
                <w:szCs w:val="24"/>
              </w:rPr>
              <w:t>At least 50% will identify a short-term recovery goal linked to usable strengths</w:t>
            </w:r>
          </w:p>
          <w:p w:rsidR="00C05A53" w:rsidRPr="009A6541" w:rsidRDefault="00C05A53" w:rsidP="009A6541">
            <w:pPr>
              <w:pStyle w:val="ListParagraph"/>
              <w:numPr>
                <w:ilvl w:val="0"/>
                <w:numId w:val="60"/>
              </w:numPr>
              <w:ind w:left="1440"/>
              <w:rPr>
                <w:sz w:val="20"/>
                <w:szCs w:val="24"/>
              </w:rPr>
            </w:pPr>
            <w:r w:rsidRPr="009A6541">
              <w:rPr>
                <w:sz w:val="20"/>
                <w:szCs w:val="24"/>
              </w:rPr>
              <w:t>At least 80% have a designated PCP</w:t>
            </w:r>
          </w:p>
          <w:p w:rsidR="00C05A53" w:rsidRPr="009A6541" w:rsidRDefault="00C05A53" w:rsidP="009A6541">
            <w:pPr>
              <w:pStyle w:val="ListParagraph"/>
              <w:numPr>
                <w:ilvl w:val="0"/>
                <w:numId w:val="60"/>
              </w:numPr>
              <w:ind w:left="1440"/>
              <w:rPr>
                <w:rFonts w:ascii="Comic Sans MS" w:hAnsi="Comic Sans MS"/>
                <w:color w:val="365F91"/>
                <w:sz w:val="16"/>
                <w:szCs w:val="20"/>
              </w:rPr>
            </w:pPr>
            <w:r w:rsidRPr="009A6541">
              <w:rPr>
                <w:sz w:val="20"/>
                <w:szCs w:val="24"/>
              </w:rPr>
              <w:t>At least 50% have at least one PCP visit in the last 12 months</w:t>
            </w:r>
          </w:p>
          <w:p w:rsidR="00C05A53" w:rsidRPr="009A6541" w:rsidRDefault="00C05A53" w:rsidP="009A6541">
            <w:pPr>
              <w:pStyle w:val="ListParagraph"/>
              <w:numPr>
                <w:ilvl w:val="0"/>
                <w:numId w:val="60"/>
              </w:numPr>
              <w:ind w:left="1440"/>
              <w:rPr>
                <w:rFonts w:ascii="Calibri" w:hAnsi="Calibri"/>
                <w:sz w:val="20"/>
                <w:szCs w:val="24"/>
              </w:rPr>
            </w:pPr>
            <w:r w:rsidRPr="009A6541">
              <w:rPr>
                <w:sz w:val="20"/>
                <w:szCs w:val="24"/>
              </w:rPr>
              <w:t>Less than 10% are homeless</w:t>
            </w:r>
          </w:p>
          <w:p w:rsidR="002641FB" w:rsidRPr="0046711B" w:rsidRDefault="0046711B" w:rsidP="0046711B">
            <w:pPr>
              <w:pStyle w:val="ListParagraph"/>
              <w:numPr>
                <w:ilvl w:val="0"/>
                <w:numId w:val="49"/>
              </w:numPr>
              <w:jc w:val="both"/>
              <w:rPr>
                <w:b/>
                <w:sz w:val="20"/>
                <w:szCs w:val="20"/>
              </w:rPr>
            </w:pPr>
            <w:r>
              <w:rPr>
                <w:sz w:val="20"/>
                <w:szCs w:val="20"/>
              </w:rPr>
              <w:t>Set wellness and recovery measurements for youth PIP, including process to evaluate.</w:t>
            </w:r>
          </w:p>
          <w:p w:rsidR="00545B7E" w:rsidRPr="00C05A53" w:rsidRDefault="00545B7E" w:rsidP="009A6541">
            <w:pPr>
              <w:jc w:val="both"/>
              <w:rPr>
                <w:b/>
                <w:sz w:val="24"/>
                <w:szCs w:val="24"/>
              </w:rPr>
            </w:pPr>
          </w:p>
        </w:tc>
        <w:tc>
          <w:tcPr>
            <w:tcW w:w="3240" w:type="dxa"/>
          </w:tcPr>
          <w:p w:rsidR="00545B7E" w:rsidRDefault="00AB3F48" w:rsidP="0046711B">
            <w:pPr>
              <w:pStyle w:val="ListParagraph"/>
              <w:numPr>
                <w:ilvl w:val="1"/>
                <w:numId w:val="49"/>
              </w:numPr>
              <w:ind w:left="342" w:hanging="342"/>
              <w:jc w:val="both"/>
              <w:rPr>
                <w:sz w:val="18"/>
                <w:szCs w:val="18"/>
              </w:rPr>
            </w:pPr>
            <w:r>
              <w:rPr>
                <w:sz w:val="18"/>
                <w:szCs w:val="18"/>
              </w:rPr>
              <w:t>Client data in Recovery Tracker will be reviewed to monitor percentage</w:t>
            </w:r>
            <w:r w:rsidR="004A6574">
              <w:rPr>
                <w:sz w:val="18"/>
                <w:szCs w:val="18"/>
              </w:rPr>
              <w:t xml:space="preserve"> of c</w:t>
            </w:r>
            <w:r w:rsidR="00411E84">
              <w:rPr>
                <w:sz w:val="18"/>
                <w:szCs w:val="18"/>
              </w:rPr>
              <w:t>lients</w:t>
            </w:r>
            <w:r>
              <w:rPr>
                <w:sz w:val="18"/>
                <w:szCs w:val="18"/>
              </w:rPr>
              <w:t xml:space="preserve"> meeting each goal.</w:t>
            </w:r>
          </w:p>
          <w:p w:rsidR="0046711B" w:rsidRDefault="0046711B" w:rsidP="0046711B">
            <w:pPr>
              <w:pStyle w:val="ListParagraph"/>
              <w:ind w:left="342"/>
              <w:jc w:val="both"/>
              <w:rPr>
                <w:sz w:val="18"/>
                <w:szCs w:val="18"/>
              </w:rPr>
            </w:pPr>
          </w:p>
          <w:p w:rsidR="00AB3F48" w:rsidRPr="0046711B" w:rsidRDefault="0046711B" w:rsidP="0046711B">
            <w:pPr>
              <w:pStyle w:val="ListParagraph"/>
              <w:numPr>
                <w:ilvl w:val="1"/>
                <w:numId w:val="49"/>
              </w:numPr>
              <w:ind w:left="342" w:hanging="342"/>
              <w:jc w:val="both"/>
              <w:rPr>
                <w:sz w:val="18"/>
                <w:szCs w:val="18"/>
              </w:rPr>
            </w:pPr>
            <w:r>
              <w:rPr>
                <w:sz w:val="18"/>
                <w:szCs w:val="18"/>
              </w:rPr>
              <w:t>Youth PIP committee will determine measurements.</w:t>
            </w:r>
          </w:p>
        </w:tc>
      </w:tr>
      <w:tr w:rsidR="00545B7E" w:rsidTr="00F75331">
        <w:tc>
          <w:tcPr>
            <w:tcW w:w="9288" w:type="dxa"/>
          </w:tcPr>
          <w:p w:rsidR="00545B7E" w:rsidRPr="002F3CCB" w:rsidRDefault="00ED2B63" w:rsidP="00ED2B63">
            <w:pPr>
              <w:pStyle w:val="ListParagraph"/>
              <w:ind w:hanging="360"/>
              <w:jc w:val="both"/>
              <w:rPr>
                <w:b/>
                <w:sz w:val="20"/>
                <w:szCs w:val="20"/>
              </w:rPr>
            </w:pPr>
            <w:r>
              <w:rPr>
                <w:sz w:val="20"/>
                <w:szCs w:val="20"/>
              </w:rPr>
              <w:t xml:space="preserve">3.     </w:t>
            </w:r>
            <w:r w:rsidR="00545B7E">
              <w:rPr>
                <w:sz w:val="20"/>
                <w:szCs w:val="20"/>
              </w:rPr>
              <w:t>Review medication practices for safety and effectiveness.</w:t>
            </w:r>
          </w:p>
          <w:p w:rsidR="00545B7E" w:rsidRPr="00855083" w:rsidRDefault="00545B7E" w:rsidP="00ED2B63">
            <w:pPr>
              <w:ind w:left="360" w:firstLine="360"/>
              <w:jc w:val="both"/>
              <w:rPr>
                <w:b/>
                <w:sz w:val="20"/>
                <w:szCs w:val="20"/>
              </w:rPr>
            </w:pPr>
            <w:r w:rsidRPr="00855083">
              <w:rPr>
                <w:b/>
                <w:sz w:val="20"/>
                <w:szCs w:val="20"/>
              </w:rPr>
              <w:t>Measurement</w:t>
            </w:r>
            <w:r w:rsidR="006606F9">
              <w:rPr>
                <w:sz w:val="20"/>
                <w:szCs w:val="20"/>
              </w:rPr>
              <w:t>:</w:t>
            </w:r>
          </w:p>
          <w:p w:rsidR="00545B7E" w:rsidRDefault="00545B7E" w:rsidP="00545B7E">
            <w:pPr>
              <w:pStyle w:val="ListParagraph"/>
              <w:numPr>
                <w:ilvl w:val="0"/>
                <w:numId w:val="51"/>
              </w:numPr>
              <w:ind w:left="1080"/>
              <w:jc w:val="both"/>
              <w:rPr>
                <w:sz w:val="20"/>
                <w:szCs w:val="20"/>
              </w:rPr>
            </w:pPr>
            <w:r>
              <w:rPr>
                <w:sz w:val="20"/>
                <w:szCs w:val="20"/>
              </w:rPr>
              <w:t>Define the medication practices that will be evaluated for safety and effectiveness.</w:t>
            </w:r>
          </w:p>
          <w:p w:rsidR="00545B7E" w:rsidRPr="00176678" w:rsidRDefault="00F75331" w:rsidP="00F75331">
            <w:pPr>
              <w:ind w:left="1080" w:hanging="360"/>
              <w:jc w:val="both"/>
              <w:rPr>
                <w:b/>
                <w:sz w:val="24"/>
                <w:szCs w:val="24"/>
              </w:rPr>
            </w:pPr>
            <w:r>
              <w:rPr>
                <w:sz w:val="20"/>
                <w:szCs w:val="20"/>
              </w:rPr>
              <w:t xml:space="preserve">b.   </w:t>
            </w:r>
            <w:r w:rsidR="00C2753D">
              <w:rPr>
                <w:sz w:val="20"/>
                <w:szCs w:val="20"/>
              </w:rPr>
              <w:t xml:space="preserve"> </w:t>
            </w:r>
            <w:r w:rsidR="00545B7E">
              <w:rPr>
                <w:sz w:val="20"/>
                <w:szCs w:val="20"/>
              </w:rPr>
              <w:t>Develop data measures and collection methodologies to monitor medication practices.</w:t>
            </w:r>
          </w:p>
        </w:tc>
        <w:tc>
          <w:tcPr>
            <w:tcW w:w="3240" w:type="dxa"/>
          </w:tcPr>
          <w:p w:rsidR="00545B7E" w:rsidRPr="00D66BD3" w:rsidRDefault="00A341AA" w:rsidP="002D2526">
            <w:pPr>
              <w:jc w:val="both"/>
              <w:rPr>
                <w:sz w:val="18"/>
                <w:szCs w:val="18"/>
              </w:rPr>
            </w:pPr>
            <w:r w:rsidRPr="00D66BD3">
              <w:rPr>
                <w:sz w:val="18"/>
                <w:szCs w:val="18"/>
              </w:rPr>
              <w:t>TBD</w:t>
            </w:r>
          </w:p>
        </w:tc>
      </w:tr>
      <w:tr w:rsidR="002641FB" w:rsidTr="00F75331">
        <w:tc>
          <w:tcPr>
            <w:tcW w:w="9288" w:type="dxa"/>
          </w:tcPr>
          <w:p w:rsidR="002641FB" w:rsidRDefault="00ED2B63" w:rsidP="00ED2B63">
            <w:pPr>
              <w:pStyle w:val="ListParagraph"/>
              <w:ind w:hanging="360"/>
              <w:jc w:val="both"/>
              <w:rPr>
                <w:sz w:val="20"/>
                <w:szCs w:val="20"/>
              </w:rPr>
            </w:pPr>
            <w:r>
              <w:rPr>
                <w:sz w:val="20"/>
                <w:szCs w:val="20"/>
              </w:rPr>
              <w:t xml:space="preserve">4.       </w:t>
            </w:r>
            <w:r w:rsidR="002641FB">
              <w:rPr>
                <w:sz w:val="20"/>
                <w:szCs w:val="20"/>
              </w:rPr>
              <w:t>Monitor provider appeals for timeliness of resolution.</w:t>
            </w:r>
          </w:p>
          <w:p w:rsidR="006606F9" w:rsidRPr="006606F9" w:rsidRDefault="006606F9" w:rsidP="00ED2B63">
            <w:pPr>
              <w:pStyle w:val="ListParagraph"/>
              <w:ind w:firstLine="90"/>
              <w:jc w:val="both"/>
              <w:rPr>
                <w:b/>
                <w:sz w:val="20"/>
                <w:szCs w:val="20"/>
              </w:rPr>
            </w:pPr>
            <w:r w:rsidRPr="006606F9">
              <w:rPr>
                <w:b/>
                <w:sz w:val="20"/>
                <w:szCs w:val="20"/>
              </w:rPr>
              <w:t>Measurement:</w:t>
            </w:r>
          </w:p>
          <w:p w:rsidR="002641FB" w:rsidRDefault="0046711B" w:rsidP="0046711B">
            <w:pPr>
              <w:pStyle w:val="ListParagraph"/>
              <w:ind w:left="1080" w:hanging="360"/>
              <w:jc w:val="both"/>
              <w:rPr>
                <w:sz w:val="20"/>
                <w:szCs w:val="20"/>
              </w:rPr>
            </w:pPr>
            <w:proofErr w:type="gramStart"/>
            <w:r>
              <w:rPr>
                <w:sz w:val="20"/>
                <w:szCs w:val="20"/>
              </w:rPr>
              <w:t xml:space="preserve">a.    </w:t>
            </w:r>
            <w:r w:rsidR="002641FB">
              <w:rPr>
                <w:sz w:val="20"/>
                <w:szCs w:val="20"/>
              </w:rPr>
              <w:t>100</w:t>
            </w:r>
            <w:proofErr w:type="gramEnd"/>
            <w:r w:rsidR="002641FB">
              <w:rPr>
                <w:sz w:val="20"/>
                <w:szCs w:val="20"/>
              </w:rPr>
              <w:t>% of provider appeals will be resolved within the state mandated timeframe.</w:t>
            </w:r>
          </w:p>
        </w:tc>
        <w:tc>
          <w:tcPr>
            <w:tcW w:w="3240" w:type="dxa"/>
          </w:tcPr>
          <w:p w:rsidR="002641FB" w:rsidRPr="00D66BD3" w:rsidRDefault="0046711B" w:rsidP="0046711B">
            <w:pPr>
              <w:ind w:left="342" w:hanging="342"/>
              <w:jc w:val="both"/>
              <w:rPr>
                <w:sz w:val="18"/>
                <w:szCs w:val="18"/>
              </w:rPr>
            </w:pPr>
            <w:r>
              <w:rPr>
                <w:sz w:val="18"/>
                <w:szCs w:val="18"/>
              </w:rPr>
              <w:t xml:space="preserve">a.   </w:t>
            </w:r>
            <w:r w:rsidR="002641FB">
              <w:rPr>
                <w:sz w:val="18"/>
                <w:szCs w:val="18"/>
              </w:rPr>
              <w:t>Review provider appeal logs to count percentage of appeals appropriately resolved within state mandated timeframe.</w:t>
            </w:r>
          </w:p>
        </w:tc>
      </w:tr>
    </w:tbl>
    <w:p w:rsidR="000B1166" w:rsidRPr="002F5C60" w:rsidRDefault="000B1166" w:rsidP="002D2526">
      <w:pPr>
        <w:spacing w:after="0"/>
        <w:jc w:val="both"/>
        <w:rPr>
          <w:sz w:val="24"/>
          <w:szCs w:val="24"/>
        </w:rPr>
      </w:pPr>
    </w:p>
    <w:sectPr w:rsidR="000B1166" w:rsidRPr="002F5C60" w:rsidSect="00350C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6F" w:rsidRDefault="004C536F" w:rsidP="00D51295">
      <w:pPr>
        <w:spacing w:after="0" w:line="240" w:lineRule="auto"/>
      </w:pPr>
      <w:r>
        <w:separator/>
      </w:r>
    </w:p>
  </w:endnote>
  <w:endnote w:type="continuationSeparator" w:id="0">
    <w:p w:rsidR="004C536F" w:rsidRDefault="004C536F" w:rsidP="00D5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76094"/>
      <w:docPartObj>
        <w:docPartGallery w:val="Page Numbers (Bottom of Page)"/>
        <w:docPartUnique/>
      </w:docPartObj>
    </w:sdtPr>
    <w:sdtEndPr/>
    <w:sdtContent>
      <w:p w:rsidR="00755FBC" w:rsidRDefault="003A7824" w:rsidP="004805C8">
        <w:pPr>
          <w:pStyle w:val="Footer"/>
          <w:pBdr>
            <w:top w:val="single" w:sz="4" w:space="1" w:color="auto"/>
          </w:pBdr>
          <w:rPr>
            <w:rFonts w:ascii="Arial" w:hAnsi="Arial" w:cs="Arial"/>
            <w:i/>
            <w:sz w:val="16"/>
            <w:szCs w:val="16"/>
          </w:rPr>
        </w:pPr>
        <w:r w:rsidRPr="00D51295">
          <w:rPr>
            <w:rFonts w:ascii="Arial" w:hAnsi="Arial" w:cs="Arial"/>
            <w:i/>
            <w:sz w:val="16"/>
            <w:szCs w:val="16"/>
          </w:rPr>
          <w:fldChar w:fldCharType="begin"/>
        </w:r>
        <w:r w:rsidR="00755FBC" w:rsidRPr="00D51295">
          <w:rPr>
            <w:rFonts w:ascii="Arial" w:hAnsi="Arial" w:cs="Arial"/>
            <w:i/>
            <w:sz w:val="16"/>
            <w:szCs w:val="16"/>
          </w:rPr>
          <w:instrText xml:space="preserve"> PAGE   \* MERGEFORMAT </w:instrText>
        </w:r>
        <w:r w:rsidRPr="00D51295">
          <w:rPr>
            <w:rFonts w:ascii="Arial" w:hAnsi="Arial" w:cs="Arial"/>
            <w:i/>
            <w:sz w:val="16"/>
            <w:szCs w:val="16"/>
          </w:rPr>
          <w:fldChar w:fldCharType="separate"/>
        </w:r>
        <w:r w:rsidR="00920D2C">
          <w:rPr>
            <w:rFonts w:ascii="Arial" w:hAnsi="Arial" w:cs="Arial"/>
            <w:i/>
            <w:noProof/>
            <w:sz w:val="16"/>
            <w:szCs w:val="16"/>
          </w:rPr>
          <w:t>5</w:t>
        </w:r>
        <w:r w:rsidRPr="00D51295">
          <w:rPr>
            <w:rFonts w:ascii="Arial" w:hAnsi="Arial" w:cs="Arial"/>
            <w:i/>
            <w:sz w:val="16"/>
            <w:szCs w:val="16"/>
          </w:rPr>
          <w:fldChar w:fldCharType="end"/>
        </w:r>
        <w:r w:rsidR="00755FBC">
          <w:rPr>
            <w:rFonts w:ascii="Arial" w:hAnsi="Arial" w:cs="Arial"/>
            <w:i/>
            <w:sz w:val="16"/>
            <w:szCs w:val="16"/>
          </w:rPr>
          <w:tab/>
        </w:r>
        <w:r w:rsidR="00755FBC">
          <w:rPr>
            <w:rFonts w:ascii="Arial" w:hAnsi="Arial" w:cs="Arial"/>
            <w:i/>
            <w:sz w:val="16"/>
            <w:szCs w:val="16"/>
          </w:rPr>
          <w:tab/>
          <w:t>Shasta County MHP Quality</w:t>
        </w:r>
        <w:r w:rsidR="00B13F5B">
          <w:rPr>
            <w:rFonts w:ascii="Arial" w:hAnsi="Arial" w:cs="Arial"/>
            <w:i/>
            <w:sz w:val="16"/>
            <w:szCs w:val="16"/>
          </w:rPr>
          <w:t xml:space="preserve"> Management </w:t>
        </w:r>
        <w:r w:rsidR="00755FBC">
          <w:rPr>
            <w:rFonts w:ascii="Arial" w:hAnsi="Arial" w:cs="Arial"/>
            <w:i/>
            <w:sz w:val="16"/>
            <w:szCs w:val="16"/>
          </w:rPr>
          <w:t>Work Plan 2014-2015</w:t>
        </w:r>
      </w:p>
      <w:p w:rsidR="00755FBC" w:rsidRDefault="00755FBC" w:rsidP="004805C8">
        <w:pPr>
          <w:pStyle w:val="Footer"/>
          <w:pBdr>
            <w:top w:val="single" w:sz="4" w:space="1" w:color="auto"/>
          </w:pBdr>
          <w:rPr>
            <w:rFonts w:ascii="Arial" w:hAnsi="Arial" w:cs="Arial"/>
            <w:i/>
            <w:sz w:val="16"/>
            <w:szCs w:val="16"/>
          </w:rPr>
        </w:pPr>
        <w:r>
          <w:rPr>
            <w:b/>
            <w:color w:val="FF0000"/>
          </w:rPr>
          <w:t xml:space="preserve">    </w:t>
        </w:r>
      </w:p>
      <w:p w:rsidR="00755FBC" w:rsidRDefault="00755FBC" w:rsidP="00D51295">
        <w:pPr>
          <w:pStyle w:val="Footer"/>
          <w:tabs>
            <w:tab w:val="clear" w:pos="4680"/>
            <w:tab w:val="center" w:pos="6390"/>
          </w:tabs>
        </w:pPr>
        <w:r>
          <w:rPr>
            <w:rFonts w:ascii="Arial" w:hAnsi="Arial" w:cs="Arial"/>
            <w:i/>
            <w:sz w:val="16"/>
            <w:szCs w:val="16"/>
          </w:rPr>
          <w:tab/>
        </w:r>
        <w:r>
          <w:rPr>
            <w:rFonts w:ascii="Arial" w:hAnsi="Arial" w:cs="Arial"/>
            <w:i/>
            <w:sz w:val="16"/>
            <w:szCs w:val="16"/>
          </w:rPr>
          <w:tab/>
          <w:t xml:space="preserve"> </w:t>
        </w:r>
      </w:p>
    </w:sdtContent>
  </w:sdt>
  <w:p w:rsidR="00755FBC" w:rsidRDefault="0075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6F" w:rsidRDefault="004C536F" w:rsidP="00D51295">
      <w:pPr>
        <w:spacing w:after="0" w:line="240" w:lineRule="auto"/>
      </w:pPr>
      <w:r>
        <w:separator/>
      </w:r>
    </w:p>
  </w:footnote>
  <w:footnote w:type="continuationSeparator" w:id="0">
    <w:p w:rsidR="004C536F" w:rsidRDefault="004C536F" w:rsidP="00D5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BC" w:rsidRPr="00BF0791" w:rsidRDefault="00755FBC" w:rsidP="004805C8">
    <w:pPr>
      <w:pStyle w:val="Header"/>
      <w:pBdr>
        <w:top w:val="single" w:sz="4" w:space="1" w:color="auto"/>
      </w:pBdr>
      <w:tabs>
        <w:tab w:val="clear" w:pos="4680"/>
        <w:tab w:val="clear" w:pos="9360"/>
      </w:tabs>
      <w:rPr>
        <w:b/>
        <w:color w:val="FF0000"/>
      </w:rPr>
    </w:pPr>
    <w:r>
      <w:rPr>
        <w:noProof/>
      </w:rPr>
      <w:drawing>
        <wp:anchor distT="0" distB="0" distL="114300" distR="114300" simplePos="0" relativeHeight="251657216" behindDoc="0" locked="0" layoutInCell="1" allowOverlap="1">
          <wp:simplePos x="0" y="0"/>
          <wp:positionH relativeFrom="column">
            <wp:posOffset>-391795</wp:posOffset>
          </wp:positionH>
          <wp:positionV relativeFrom="paragraph">
            <wp:posOffset>-80010</wp:posOffset>
          </wp:positionV>
          <wp:extent cx="636905" cy="6356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905" cy="635635"/>
                  </a:xfrm>
                  <a:prstGeom prst="rect">
                    <a:avLst/>
                  </a:prstGeom>
                  <a:noFill/>
                </pic:spPr>
              </pic:pic>
            </a:graphicData>
          </a:graphic>
        </wp:anchor>
      </w:drawing>
    </w:r>
    <w:r>
      <w:tab/>
    </w:r>
    <w:r w:rsidRPr="00975C29">
      <w:rPr>
        <w:b/>
      </w:rPr>
      <w:t>Shasta County Health and Human Services Agency</w:t>
    </w:r>
    <w:r>
      <w:rPr>
        <w:b/>
      </w:rPr>
      <w:tab/>
    </w:r>
    <w:r>
      <w:rPr>
        <w:b/>
      </w:rPr>
      <w:tab/>
    </w:r>
    <w:r>
      <w:rPr>
        <w:b/>
      </w:rPr>
      <w:tab/>
    </w:r>
    <w:r>
      <w:rPr>
        <w:b/>
        <w:color w:val="FF0000"/>
      </w:rPr>
      <w:t xml:space="preserve"> </w:t>
    </w:r>
  </w:p>
  <w:p w:rsidR="00755FBC" w:rsidRDefault="00755FBC" w:rsidP="004805C8">
    <w:pPr>
      <w:pStyle w:val="Header"/>
      <w:tabs>
        <w:tab w:val="clear" w:pos="4680"/>
        <w:tab w:val="clear" w:pos="9360"/>
      </w:tabs>
      <w:rPr>
        <w:b/>
      </w:rPr>
    </w:pPr>
    <w:r w:rsidRPr="00975C29">
      <w:rPr>
        <w:b/>
      </w:rPr>
      <w:tab/>
      <w:t>201</w:t>
    </w:r>
    <w:r>
      <w:rPr>
        <w:b/>
      </w:rPr>
      <w:t>4-2015</w:t>
    </w:r>
    <w:r w:rsidRPr="00975C29">
      <w:rPr>
        <w:b/>
      </w:rPr>
      <w:t xml:space="preserve"> Mental Health </w:t>
    </w:r>
    <w:r w:rsidR="003249FF">
      <w:rPr>
        <w:b/>
      </w:rPr>
      <w:t xml:space="preserve">Plan </w:t>
    </w:r>
    <w:r w:rsidRPr="00975C29">
      <w:rPr>
        <w:b/>
      </w:rPr>
      <w:t>Quality</w:t>
    </w:r>
    <w:r w:rsidR="00357768">
      <w:rPr>
        <w:b/>
      </w:rPr>
      <w:t xml:space="preserve"> Management</w:t>
    </w:r>
    <w:r w:rsidRPr="00975C29">
      <w:rPr>
        <w:b/>
      </w:rPr>
      <w:t xml:space="preserve"> Work Plan </w:t>
    </w:r>
  </w:p>
  <w:p w:rsidR="00755FBC" w:rsidRDefault="00755FBC" w:rsidP="004805C8">
    <w:pPr>
      <w:pStyle w:val="Header"/>
      <w:tabs>
        <w:tab w:val="clear" w:pos="4680"/>
        <w:tab w:val="clear" w:pos="9360"/>
      </w:tabs>
      <w:rPr>
        <w:b/>
      </w:rPr>
    </w:pPr>
  </w:p>
  <w:p w:rsidR="00755FBC" w:rsidRPr="00975C29" w:rsidRDefault="00755FBC" w:rsidP="004805C8">
    <w:pPr>
      <w:pStyle w:val="Header"/>
      <w:tabs>
        <w:tab w:val="clear" w:pos="4680"/>
        <w:tab w:val="clear"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617"/>
    <w:multiLevelType w:val="hybridMultilevel"/>
    <w:tmpl w:val="690C5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1AE1"/>
    <w:multiLevelType w:val="hybridMultilevel"/>
    <w:tmpl w:val="DC0E9670"/>
    <w:lvl w:ilvl="0" w:tplc="86B09E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8654D"/>
    <w:multiLevelType w:val="hybridMultilevel"/>
    <w:tmpl w:val="C6CC1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592A"/>
    <w:multiLevelType w:val="hybridMultilevel"/>
    <w:tmpl w:val="F3A6C6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6AE7"/>
    <w:multiLevelType w:val="hybridMultilevel"/>
    <w:tmpl w:val="D0E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2444"/>
    <w:multiLevelType w:val="hybridMultilevel"/>
    <w:tmpl w:val="F516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5D8D"/>
    <w:multiLevelType w:val="hybridMultilevel"/>
    <w:tmpl w:val="439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A113B"/>
    <w:multiLevelType w:val="hybridMultilevel"/>
    <w:tmpl w:val="922E5C9A"/>
    <w:lvl w:ilvl="0" w:tplc="270079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C71FA6"/>
    <w:multiLevelType w:val="hybridMultilevel"/>
    <w:tmpl w:val="D0E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42D21"/>
    <w:multiLevelType w:val="hybridMultilevel"/>
    <w:tmpl w:val="271A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47BA"/>
    <w:multiLevelType w:val="hybridMultilevel"/>
    <w:tmpl w:val="DD04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09A9"/>
    <w:multiLevelType w:val="hybridMultilevel"/>
    <w:tmpl w:val="1174E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FBB"/>
    <w:multiLevelType w:val="hybridMultilevel"/>
    <w:tmpl w:val="87CAE700"/>
    <w:lvl w:ilvl="0" w:tplc="6D6C66E6">
      <w:start w:val="1"/>
      <w:numFmt w:val="lowerLetter"/>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E164D"/>
    <w:multiLevelType w:val="hybridMultilevel"/>
    <w:tmpl w:val="0122C23E"/>
    <w:lvl w:ilvl="0" w:tplc="172E8F4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29B5527"/>
    <w:multiLevelType w:val="hybridMultilevel"/>
    <w:tmpl w:val="C5BEA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30F0A"/>
    <w:multiLevelType w:val="hybridMultilevel"/>
    <w:tmpl w:val="68B6A368"/>
    <w:lvl w:ilvl="0" w:tplc="DD161476">
      <w:start w:val="1"/>
      <w:numFmt w:val="lowerLetter"/>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63CA2"/>
    <w:multiLevelType w:val="hybridMultilevel"/>
    <w:tmpl w:val="8D5A26F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13E2C"/>
    <w:multiLevelType w:val="hybridMultilevel"/>
    <w:tmpl w:val="17927B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624A51"/>
    <w:multiLevelType w:val="hybridMultilevel"/>
    <w:tmpl w:val="304E8210"/>
    <w:lvl w:ilvl="0" w:tplc="ED243CF6">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710A29"/>
    <w:multiLevelType w:val="hybridMultilevel"/>
    <w:tmpl w:val="D0E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A7DFE"/>
    <w:multiLevelType w:val="hybridMultilevel"/>
    <w:tmpl w:val="D9645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62123"/>
    <w:multiLevelType w:val="hybridMultilevel"/>
    <w:tmpl w:val="FA9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10CAA"/>
    <w:multiLevelType w:val="hybridMultilevel"/>
    <w:tmpl w:val="656A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50F23"/>
    <w:multiLevelType w:val="hybridMultilevel"/>
    <w:tmpl w:val="BC406424"/>
    <w:lvl w:ilvl="0" w:tplc="6206DFE4">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C50199"/>
    <w:multiLevelType w:val="hybridMultilevel"/>
    <w:tmpl w:val="C3367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E00C4"/>
    <w:multiLevelType w:val="hybridMultilevel"/>
    <w:tmpl w:val="7A50E9EE"/>
    <w:lvl w:ilvl="0" w:tplc="DB306D5E">
      <w:start w:val="1"/>
      <w:numFmt w:val="lowerLetter"/>
      <w:lvlText w:val="%1."/>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2B09C7"/>
    <w:multiLevelType w:val="hybridMultilevel"/>
    <w:tmpl w:val="D0E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678C2"/>
    <w:multiLevelType w:val="hybridMultilevel"/>
    <w:tmpl w:val="E3E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94A35"/>
    <w:multiLevelType w:val="hybridMultilevel"/>
    <w:tmpl w:val="3FECB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F14B9"/>
    <w:multiLevelType w:val="hybridMultilevel"/>
    <w:tmpl w:val="69484BAC"/>
    <w:lvl w:ilvl="0" w:tplc="1166C87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544CDD"/>
    <w:multiLevelType w:val="hybridMultilevel"/>
    <w:tmpl w:val="EC3C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F318A"/>
    <w:multiLevelType w:val="hybridMultilevel"/>
    <w:tmpl w:val="789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731B3"/>
    <w:multiLevelType w:val="hybridMultilevel"/>
    <w:tmpl w:val="C18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A7A2E"/>
    <w:multiLevelType w:val="hybridMultilevel"/>
    <w:tmpl w:val="FF0E4884"/>
    <w:lvl w:ilvl="0" w:tplc="6D6C66E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CD7685"/>
    <w:multiLevelType w:val="hybridMultilevel"/>
    <w:tmpl w:val="55B4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7481F"/>
    <w:multiLevelType w:val="hybridMultilevel"/>
    <w:tmpl w:val="38D6C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219A6"/>
    <w:multiLevelType w:val="hybridMultilevel"/>
    <w:tmpl w:val="4BF8C9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1918D6"/>
    <w:multiLevelType w:val="hybridMultilevel"/>
    <w:tmpl w:val="C92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A106A"/>
    <w:multiLevelType w:val="hybridMultilevel"/>
    <w:tmpl w:val="A6A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940CC"/>
    <w:multiLevelType w:val="hybridMultilevel"/>
    <w:tmpl w:val="16FE4F4C"/>
    <w:lvl w:ilvl="0" w:tplc="6E5402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7A74E6"/>
    <w:multiLevelType w:val="hybridMultilevel"/>
    <w:tmpl w:val="7F42959E"/>
    <w:lvl w:ilvl="0" w:tplc="22522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4559B5"/>
    <w:multiLevelType w:val="hybridMultilevel"/>
    <w:tmpl w:val="7C843424"/>
    <w:lvl w:ilvl="0" w:tplc="5E321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567327"/>
    <w:multiLevelType w:val="hybridMultilevel"/>
    <w:tmpl w:val="E50A6A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F00758"/>
    <w:multiLevelType w:val="hybridMultilevel"/>
    <w:tmpl w:val="CD1A1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0F0977"/>
    <w:multiLevelType w:val="hybridMultilevel"/>
    <w:tmpl w:val="C3367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A45E3C"/>
    <w:multiLevelType w:val="hybridMultilevel"/>
    <w:tmpl w:val="F932B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3BE39B6"/>
    <w:multiLevelType w:val="hybridMultilevel"/>
    <w:tmpl w:val="9A60CA8A"/>
    <w:lvl w:ilvl="0" w:tplc="B6A0913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15:restartNumberingAfterBreak="0">
    <w:nsid w:val="65D913DD"/>
    <w:multiLevelType w:val="hybridMultilevel"/>
    <w:tmpl w:val="6F6E5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C419A"/>
    <w:multiLevelType w:val="hybridMultilevel"/>
    <w:tmpl w:val="A956FD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A13D7F"/>
    <w:multiLevelType w:val="hybridMultilevel"/>
    <w:tmpl w:val="BC66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8573F9"/>
    <w:multiLevelType w:val="hybridMultilevel"/>
    <w:tmpl w:val="69E02C22"/>
    <w:lvl w:ilvl="0" w:tplc="86B09E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A10867"/>
    <w:multiLevelType w:val="hybridMultilevel"/>
    <w:tmpl w:val="7944A2E2"/>
    <w:lvl w:ilvl="0" w:tplc="97CAC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AD58EB"/>
    <w:multiLevelType w:val="hybridMultilevel"/>
    <w:tmpl w:val="D07265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5B8668F"/>
    <w:multiLevelType w:val="hybridMultilevel"/>
    <w:tmpl w:val="6BB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C17923"/>
    <w:multiLevelType w:val="hybridMultilevel"/>
    <w:tmpl w:val="E7EAACA4"/>
    <w:lvl w:ilvl="0" w:tplc="853E006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5" w15:restartNumberingAfterBreak="0">
    <w:nsid w:val="79C66A0E"/>
    <w:multiLevelType w:val="hybridMultilevel"/>
    <w:tmpl w:val="7CE026A4"/>
    <w:lvl w:ilvl="0" w:tplc="0409000F">
      <w:start w:val="1"/>
      <w:numFmt w:val="decimal"/>
      <w:lvlText w:val="%1."/>
      <w:lvlJc w:val="left"/>
      <w:pPr>
        <w:ind w:left="720" w:hanging="360"/>
      </w:pPr>
    </w:lvl>
    <w:lvl w:ilvl="1" w:tplc="DD161476">
      <w:start w:val="1"/>
      <w:numFmt w:val="lowerLetter"/>
      <w:lvlText w:val="%2."/>
      <w:lvlJc w:val="left"/>
      <w:pPr>
        <w:ind w:left="1440" w:hanging="360"/>
      </w:pPr>
      <w:rPr>
        <w:rFonts w:hint="default"/>
        <w:b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1943FF"/>
    <w:multiLevelType w:val="hybridMultilevel"/>
    <w:tmpl w:val="BCC2DB76"/>
    <w:lvl w:ilvl="0" w:tplc="95986E3A">
      <w:start w:val="12"/>
      <w:numFmt w:val="bullet"/>
      <w:lvlText w:val=""/>
      <w:lvlJc w:val="left"/>
      <w:pPr>
        <w:tabs>
          <w:tab w:val="num" w:pos="720"/>
        </w:tabs>
        <w:ind w:left="720" w:hanging="360"/>
      </w:pPr>
      <w:rPr>
        <w:rFonts w:ascii="Wingdings 2" w:hAnsi="Wingdings 2" w:cs="Times New Roman" w:hint="default"/>
        <w:b w:val="0"/>
        <w:color w:val="E36C0A"/>
      </w:rPr>
    </w:lvl>
    <w:lvl w:ilvl="1" w:tplc="04090003">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617B96"/>
    <w:multiLevelType w:val="hybridMultilevel"/>
    <w:tmpl w:val="D8DC1646"/>
    <w:lvl w:ilvl="0" w:tplc="D402F10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8B25BC"/>
    <w:multiLevelType w:val="hybridMultilevel"/>
    <w:tmpl w:val="D7B0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E1E56"/>
    <w:multiLevelType w:val="hybridMultilevel"/>
    <w:tmpl w:val="1A080140"/>
    <w:lvl w:ilvl="0" w:tplc="0D3E649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6"/>
  </w:num>
  <w:num w:numId="3">
    <w:abstractNumId w:val="31"/>
  </w:num>
  <w:num w:numId="4">
    <w:abstractNumId w:val="9"/>
  </w:num>
  <w:num w:numId="5">
    <w:abstractNumId w:val="21"/>
  </w:num>
  <w:num w:numId="6">
    <w:abstractNumId w:val="43"/>
  </w:num>
  <w:num w:numId="7">
    <w:abstractNumId w:val="10"/>
  </w:num>
  <w:num w:numId="8">
    <w:abstractNumId w:val="3"/>
  </w:num>
  <w:num w:numId="9">
    <w:abstractNumId w:val="39"/>
  </w:num>
  <w:num w:numId="10">
    <w:abstractNumId w:val="35"/>
  </w:num>
  <w:num w:numId="11">
    <w:abstractNumId w:val="56"/>
  </w:num>
  <w:num w:numId="12">
    <w:abstractNumId w:val="20"/>
  </w:num>
  <w:num w:numId="13">
    <w:abstractNumId w:val="52"/>
  </w:num>
  <w:num w:numId="14">
    <w:abstractNumId w:val="1"/>
  </w:num>
  <w:num w:numId="15">
    <w:abstractNumId w:val="50"/>
  </w:num>
  <w:num w:numId="16">
    <w:abstractNumId w:val="45"/>
  </w:num>
  <w:num w:numId="17">
    <w:abstractNumId w:val="5"/>
  </w:num>
  <w:num w:numId="18">
    <w:abstractNumId w:val="53"/>
  </w:num>
  <w:num w:numId="19">
    <w:abstractNumId w:val="34"/>
  </w:num>
  <w:num w:numId="20">
    <w:abstractNumId w:val="47"/>
  </w:num>
  <w:num w:numId="21">
    <w:abstractNumId w:val="42"/>
  </w:num>
  <w:num w:numId="22">
    <w:abstractNumId w:val="49"/>
  </w:num>
  <w:num w:numId="23">
    <w:abstractNumId w:val="0"/>
  </w:num>
  <w:num w:numId="24">
    <w:abstractNumId w:val="30"/>
  </w:num>
  <w:num w:numId="25">
    <w:abstractNumId w:val="58"/>
  </w:num>
  <w:num w:numId="26">
    <w:abstractNumId w:val="17"/>
  </w:num>
  <w:num w:numId="27">
    <w:abstractNumId w:val="55"/>
  </w:num>
  <w:num w:numId="28">
    <w:abstractNumId w:val="28"/>
  </w:num>
  <w:num w:numId="29">
    <w:abstractNumId w:val="2"/>
  </w:num>
  <w:num w:numId="30">
    <w:abstractNumId w:val="16"/>
  </w:num>
  <w:num w:numId="31">
    <w:abstractNumId w:val="23"/>
  </w:num>
  <w:num w:numId="32">
    <w:abstractNumId w:val="48"/>
  </w:num>
  <w:num w:numId="33">
    <w:abstractNumId w:val="14"/>
  </w:num>
  <w:num w:numId="34">
    <w:abstractNumId w:val="38"/>
  </w:num>
  <w:num w:numId="35">
    <w:abstractNumId w:val="27"/>
  </w:num>
  <w:num w:numId="36">
    <w:abstractNumId w:val="22"/>
  </w:num>
  <w:num w:numId="37">
    <w:abstractNumId w:val="41"/>
  </w:num>
  <w:num w:numId="38">
    <w:abstractNumId w:val="51"/>
  </w:num>
  <w:num w:numId="39">
    <w:abstractNumId w:val="44"/>
  </w:num>
  <w:num w:numId="40">
    <w:abstractNumId w:val="4"/>
  </w:num>
  <w:num w:numId="41">
    <w:abstractNumId w:val="8"/>
  </w:num>
  <w:num w:numId="42">
    <w:abstractNumId w:val="19"/>
  </w:num>
  <w:num w:numId="43">
    <w:abstractNumId w:val="26"/>
  </w:num>
  <w:num w:numId="44">
    <w:abstractNumId w:val="18"/>
  </w:num>
  <w:num w:numId="45">
    <w:abstractNumId w:val="57"/>
  </w:num>
  <w:num w:numId="46">
    <w:abstractNumId w:val="29"/>
  </w:num>
  <w:num w:numId="47">
    <w:abstractNumId w:val="37"/>
  </w:num>
  <w:num w:numId="48">
    <w:abstractNumId w:val="40"/>
  </w:num>
  <w:num w:numId="49">
    <w:abstractNumId w:val="33"/>
  </w:num>
  <w:num w:numId="50">
    <w:abstractNumId w:val="12"/>
  </w:num>
  <w:num w:numId="51">
    <w:abstractNumId w:val="7"/>
  </w:num>
  <w:num w:numId="52">
    <w:abstractNumId w:val="59"/>
  </w:num>
  <w:num w:numId="53">
    <w:abstractNumId w:val="25"/>
  </w:num>
  <w:num w:numId="54">
    <w:abstractNumId w:val="11"/>
  </w:num>
  <w:num w:numId="55">
    <w:abstractNumId w:val="13"/>
  </w:num>
  <w:num w:numId="56">
    <w:abstractNumId w:val="46"/>
  </w:num>
  <w:num w:numId="57">
    <w:abstractNumId w:val="54"/>
  </w:num>
  <w:num w:numId="58">
    <w:abstractNumId w:val="24"/>
  </w:num>
  <w:num w:numId="59">
    <w:abstractNumId w:val="15"/>
  </w:num>
  <w:num w:numId="60">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90"/>
    <w:rsid w:val="00007863"/>
    <w:rsid w:val="00014FD8"/>
    <w:rsid w:val="00025FDC"/>
    <w:rsid w:val="00031FBF"/>
    <w:rsid w:val="00041F93"/>
    <w:rsid w:val="00050138"/>
    <w:rsid w:val="00060218"/>
    <w:rsid w:val="00065859"/>
    <w:rsid w:val="00083DDE"/>
    <w:rsid w:val="000B1166"/>
    <w:rsid w:val="000C3F79"/>
    <w:rsid w:val="000C60CA"/>
    <w:rsid w:val="000D0DAD"/>
    <w:rsid w:val="000E510C"/>
    <w:rsid w:val="0010320B"/>
    <w:rsid w:val="00104480"/>
    <w:rsid w:val="00104EA8"/>
    <w:rsid w:val="00107206"/>
    <w:rsid w:val="001170A2"/>
    <w:rsid w:val="00125ECC"/>
    <w:rsid w:val="001270CE"/>
    <w:rsid w:val="00127207"/>
    <w:rsid w:val="00132A9D"/>
    <w:rsid w:val="001331B2"/>
    <w:rsid w:val="00134227"/>
    <w:rsid w:val="00143DF4"/>
    <w:rsid w:val="00146639"/>
    <w:rsid w:val="00146E4F"/>
    <w:rsid w:val="0015745C"/>
    <w:rsid w:val="00161C0B"/>
    <w:rsid w:val="00163C44"/>
    <w:rsid w:val="00164985"/>
    <w:rsid w:val="001663FE"/>
    <w:rsid w:val="001747F5"/>
    <w:rsid w:val="00176678"/>
    <w:rsid w:val="001772B3"/>
    <w:rsid w:val="00177956"/>
    <w:rsid w:val="00185A14"/>
    <w:rsid w:val="00190131"/>
    <w:rsid w:val="00190A79"/>
    <w:rsid w:val="0019248A"/>
    <w:rsid w:val="001A3C90"/>
    <w:rsid w:val="001A4196"/>
    <w:rsid w:val="001B3386"/>
    <w:rsid w:val="001C263C"/>
    <w:rsid w:val="001E252B"/>
    <w:rsid w:val="001F1D1E"/>
    <w:rsid w:val="001F22C7"/>
    <w:rsid w:val="00204073"/>
    <w:rsid w:val="002064D8"/>
    <w:rsid w:val="00211243"/>
    <w:rsid w:val="002322D1"/>
    <w:rsid w:val="0024164B"/>
    <w:rsid w:val="00241D59"/>
    <w:rsid w:val="0024654C"/>
    <w:rsid w:val="002467F2"/>
    <w:rsid w:val="0025600F"/>
    <w:rsid w:val="00257B6A"/>
    <w:rsid w:val="00261BEF"/>
    <w:rsid w:val="00261CD9"/>
    <w:rsid w:val="002641FB"/>
    <w:rsid w:val="00274444"/>
    <w:rsid w:val="002764F9"/>
    <w:rsid w:val="00281047"/>
    <w:rsid w:val="00281EF8"/>
    <w:rsid w:val="0028216B"/>
    <w:rsid w:val="002840FD"/>
    <w:rsid w:val="00284263"/>
    <w:rsid w:val="002979AA"/>
    <w:rsid w:val="002B4AA7"/>
    <w:rsid w:val="002B7FD7"/>
    <w:rsid w:val="002C3606"/>
    <w:rsid w:val="002C3801"/>
    <w:rsid w:val="002D2526"/>
    <w:rsid w:val="002D3CD6"/>
    <w:rsid w:val="002D4FCB"/>
    <w:rsid w:val="002E15D7"/>
    <w:rsid w:val="002E1A02"/>
    <w:rsid w:val="002E6E13"/>
    <w:rsid w:val="002F24E3"/>
    <w:rsid w:val="002F5B26"/>
    <w:rsid w:val="002F5C60"/>
    <w:rsid w:val="003064D2"/>
    <w:rsid w:val="00321ADD"/>
    <w:rsid w:val="00322EFA"/>
    <w:rsid w:val="003249FF"/>
    <w:rsid w:val="0033001F"/>
    <w:rsid w:val="00332716"/>
    <w:rsid w:val="003329DE"/>
    <w:rsid w:val="00343600"/>
    <w:rsid w:val="00343C43"/>
    <w:rsid w:val="00344FF3"/>
    <w:rsid w:val="00347256"/>
    <w:rsid w:val="00350CDE"/>
    <w:rsid w:val="00357336"/>
    <w:rsid w:val="00357768"/>
    <w:rsid w:val="00360779"/>
    <w:rsid w:val="00361622"/>
    <w:rsid w:val="00367E2F"/>
    <w:rsid w:val="0037095A"/>
    <w:rsid w:val="00371B93"/>
    <w:rsid w:val="003806CD"/>
    <w:rsid w:val="00382EC1"/>
    <w:rsid w:val="00386A71"/>
    <w:rsid w:val="00391211"/>
    <w:rsid w:val="00393B3B"/>
    <w:rsid w:val="00394636"/>
    <w:rsid w:val="00394C72"/>
    <w:rsid w:val="003A3752"/>
    <w:rsid w:val="003A72B0"/>
    <w:rsid w:val="003A7824"/>
    <w:rsid w:val="003B4DC0"/>
    <w:rsid w:val="003C0178"/>
    <w:rsid w:val="003C30F7"/>
    <w:rsid w:val="003C7E0B"/>
    <w:rsid w:val="003D11EB"/>
    <w:rsid w:val="003D2D59"/>
    <w:rsid w:val="003E079E"/>
    <w:rsid w:val="003F62A3"/>
    <w:rsid w:val="003F62CD"/>
    <w:rsid w:val="003F7CA1"/>
    <w:rsid w:val="0040434B"/>
    <w:rsid w:val="00407BEB"/>
    <w:rsid w:val="00411E84"/>
    <w:rsid w:val="00414587"/>
    <w:rsid w:val="004164F1"/>
    <w:rsid w:val="004276B3"/>
    <w:rsid w:val="004360D2"/>
    <w:rsid w:val="004432EF"/>
    <w:rsid w:val="00453E30"/>
    <w:rsid w:val="004631E8"/>
    <w:rsid w:val="004651A0"/>
    <w:rsid w:val="0046711B"/>
    <w:rsid w:val="00467EBD"/>
    <w:rsid w:val="004721C1"/>
    <w:rsid w:val="004805C8"/>
    <w:rsid w:val="00484636"/>
    <w:rsid w:val="0049067F"/>
    <w:rsid w:val="004906FF"/>
    <w:rsid w:val="00495F12"/>
    <w:rsid w:val="004A1994"/>
    <w:rsid w:val="004A6574"/>
    <w:rsid w:val="004C536F"/>
    <w:rsid w:val="004E4447"/>
    <w:rsid w:val="004F1E4E"/>
    <w:rsid w:val="004F7E8F"/>
    <w:rsid w:val="00503C49"/>
    <w:rsid w:val="005050CC"/>
    <w:rsid w:val="00505A23"/>
    <w:rsid w:val="00506870"/>
    <w:rsid w:val="00524657"/>
    <w:rsid w:val="005257EA"/>
    <w:rsid w:val="00527A54"/>
    <w:rsid w:val="00532291"/>
    <w:rsid w:val="00535CBF"/>
    <w:rsid w:val="00545376"/>
    <w:rsid w:val="00545B7E"/>
    <w:rsid w:val="00550DFA"/>
    <w:rsid w:val="00554827"/>
    <w:rsid w:val="00567AAB"/>
    <w:rsid w:val="00570EFE"/>
    <w:rsid w:val="00575672"/>
    <w:rsid w:val="00575E41"/>
    <w:rsid w:val="00581D22"/>
    <w:rsid w:val="005859DD"/>
    <w:rsid w:val="005972F6"/>
    <w:rsid w:val="005A2224"/>
    <w:rsid w:val="005A59DB"/>
    <w:rsid w:val="005B1CA4"/>
    <w:rsid w:val="005B26F9"/>
    <w:rsid w:val="005B779C"/>
    <w:rsid w:val="005C773F"/>
    <w:rsid w:val="005D38D5"/>
    <w:rsid w:val="005D4436"/>
    <w:rsid w:val="005D780B"/>
    <w:rsid w:val="005E71D0"/>
    <w:rsid w:val="00602DA0"/>
    <w:rsid w:val="006129EC"/>
    <w:rsid w:val="00626B9E"/>
    <w:rsid w:val="00644208"/>
    <w:rsid w:val="006461EC"/>
    <w:rsid w:val="00651491"/>
    <w:rsid w:val="006606F9"/>
    <w:rsid w:val="00662424"/>
    <w:rsid w:val="00681934"/>
    <w:rsid w:val="00683474"/>
    <w:rsid w:val="006868B9"/>
    <w:rsid w:val="00690C3F"/>
    <w:rsid w:val="0069303C"/>
    <w:rsid w:val="006A0E70"/>
    <w:rsid w:val="006A4CA4"/>
    <w:rsid w:val="006A584B"/>
    <w:rsid w:val="006B4C4D"/>
    <w:rsid w:val="006C00AB"/>
    <w:rsid w:val="006C0997"/>
    <w:rsid w:val="006C09B5"/>
    <w:rsid w:val="006F12C2"/>
    <w:rsid w:val="00713C06"/>
    <w:rsid w:val="0072025E"/>
    <w:rsid w:val="007359ED"/>
    <w:rsid w:val="00744F0A"/>
    <w:rsid w:val="0074741C"/>
    <w:rsid w:val="007525ED"/>
    <w:rsid w:val="007556A1"/>
    <w:rsid w:val="00755FBC"/>
    <w:rsid w:val="00756386"/>
    <w:rsid w:val="00761D6B"/>
    <w:rsid w:val="00766DA0"/>
    <w:rsid w:val="00773319"/>
    <w:rsid w:val="00773FE1"/>
    <w:rsid w:val="00786056"/>
    <w:rsid w:val="00793635"/>
    <w:rsid w:val="00793FBB"/>
    <w:rsid w:val="007A51BC"/>
    <w:rsid w:val="007A768C"/>
    <w:rsid w:val="007B757E"/>
    <w:rsid w:val="007D12A3"/>
    <w:rsid w:val="007D2D03"/>
    <w:rsid w:val="007D5B5B"/>
    <w:rsid w:val="007D5F74"/>
    <w:rsid w:val="007D66DF"/>
    <w:rsid w:val="007E5615"/>
    <w:rsid w:val="007E7924"/>
    <w:rsid w:val="007F3DF8"/>
    <w:rsid w:val="007F44F7"/>
    <w:rsid w:val="007F7FFA"/>
    <w:rsid w:val="008058B9"/>
    <w:rsid w:val="008104D0"/>
    <w:rsid w:val="008200D8"/>
    <w:rsid w:val="00836B4C"/>
    <w:rsid w:val="0084680E"/>
    <w:rsid w:val="00850C38"/>
    <w:rsid w:val="00856B1D"/>
    <w:rsid w:val="00864DC2"/>
    <w:rsid w:val="00867C1F"/>
    <w:rsid w:val="00881261"/>
    <w:rsid w:val="008915C0"/>
    <w:rsid w:val="008A23FE"/>
    <w:rsid w:val="008A5702"/>
    <w:rsid w:val="008A720F"/>
    <w:rsid w:val="008A7B47"/>
    <w:rsid w:val="008B0CA0"/>
    <w:rsid w:val="008B2097"/>
    <w:rsid w:val="008B3AAD"/>
    <w:rsid w:val="008B5573"/>
    <w:rsid w:val="008C0C50"/>
    <w:rsid w:val="008C4CCA"/>
    <w:rsid w:val="008C5675"/>
    <w:rsid w:val="008C6CC9"/>
    <w:rsid w:val="008D44E4"/>
    <w:rsid w:val="008E3655"/>
    <w:rsid w:val="008E5DC0"/>
    <w:rsid w:val="008F48D5"/>
    <w:rsid w:val="0090585D"/>
    <w:rsid w:val="00910D75"/>
    <w:rsid w:val="0091140D"/>
    <w:rsid w:val="0091219B"/>
    <w:rsid w:val="00920D2C"/>
    <w:rsid w:val="00935B5C"/>
    <w:rsid w:val="00941509"/>
    <w:rsid w:val="00952EBC"/>
    <w:rsid w:val="00963588"/>
    <w:rsid w:val="00964371"/>
    <w:rsid w:val="0096518C"/>
    <w:rsid w:val="00975C29"/>
    <w:rsid w:val="009773EA"/>
    <w:rsid w:val="009865CF"/>
    <w:rsid w:val="009A3874"/>
    <w:rsid w:val="009A6541"/>
    <w:rsid w:val="009A69D9"/>
    <w:rsid w:val="009B587E"/>
    <w:rsid w:val="009B6EB4"/>
    <w:rsid w:val="009D366B"/>
    <w:rsid w:val="009E17B1"/>
    <w:rsid w:val="009F09E5"/>
    <w:rsid w:val="009F3167"/>
    <w:rsid w:val="00A057A0"/>
    <w:rsid w:val="00A125A0"/>
    <w:rsid w:val="00A1334F"/>
    <w:rsid w:val="00A21A4C"/>
    <w:rsid w:val="00A237EE"/>
    <w:rsid w:val="00A24014"/>
    <w:rsid w:val="00A30B35"/>
    <w:rsid w:val="00A341AA"/>
    <w:rsid w:val="00A51175"/>
    <w:rsid w:val="00A62D75"/>
    <w:rsid w:val="00A652DC"/>
    <w:rsid w:val="00A80167"/>
    <w:rsid w:val="00A801BB"/>
    <w:rsid w:val="00A81AF2"/>
    <w:rsid w:val="00A83EFA"/>
    <w:rsid w:val="00A8573C"/>
    <w:rsid w:val="00A91F80"/>
    <w:rsid w:val="00A93E9C"/>
    <w:rsid w:val="00AA48DF"/>
    <w:rsid w:val="00AB3F48"/>
    <w:rsid w:val="00AC2D17"/>
    <w:rsid w:val="00AD6A5F"/>
    <w:rsid w:val="00AE5634"/>
    <w:rsid w:val="00AF3CBE"/>
    <w:rsid w:val="00AF4C69"/>
    <w:rsid w:val="00AF6EB4"/>
    <w:rsid w:val="00B00389"/>
    <w:rsid w:val="00B10BC3"/>
    <w:rsid w:val="00B13F5B"/>
    <w:rsid w:val="00B41335"/>
    <w:rsid w:val="00B50FDB"/>
    <w:rsid w:val="00B634DC"/>
    <w:rsid w:val="00B71D5F"/>
    <w:rsid w:val="00B760E1"/>
    <w:rsid w:val="00B80E1E"/>
    <w:rsid w:val="00B87B6B"/>
    <w:rsid w:val="00B92639"/>
    <w:rsid w:val="00BB0832"/>
    <w:rsid w:val="00BB6F9D"/>
    <w:rsid w:val="00BC1243"/>
    <w:rsid w:val="00BD57C5"/>
    <w:rsid w:val="00BD65A2"/>
    <w:rsid w:val="00BD6E4B"/>
    <w:rsid w:val="00BE1FF6"/>
    <w:rsid w:val="00BE2513"/>
    <w:rsid w:val="00BF0791"/>
    <w:rsid w:val="00BF6046"/>
    <w:rsid w:val="00BF7B29"/>
    <w:rsid w:val="00C016A1"/>
    <w:rsid w:val="00C02DAE"/>
    <w:rsid w:val="00C05A53"/>
    <w:rsid w:val="00C23827"/>
    <w:rsid w:val="00C2597B"/>
    <w:rsid w:val="00C2753D"/>
    <w:rsid w:val="00C33419"/>
    <w:rsid w:val="00C33B62"/>
    <w:rsid w:val="00C410A8"/>
    <w:rsid w:val="00C429A9"/>
    <w:rsid w:val="00C434BD"/>
    <w:rsid w:val="00C47699"/>
    <w:rsid w:val="00C5245E"/>
    <w:rsid w:val="00C52889"/>
    <w:rsid w:val="00C570E1"/>
    <w:rsid w:val="00C63543"/>
    <w:rsid w:val="00C76D46"/>
    <w:rsid w:val="00C8284F"/>
    <w:rsid w:val="00C83638"/>
    <w:rsid w:val="00CA1DDF"/>
    <w:rsid w:val="00CA6712"/>
    <w:rsid w:val="00CB2AE7"/>
    <w:rsid w:val="00CB5ABD"/>
    <w:rsid w:val="00CC2F30"/>
    <w:rsid w:val="00D04E44"/>
    <w:rsid w:val="00D0773E"/>
    <w:rsid w:val="00D118C5"/>
    <w:rsid w:val="00D11E9B"/>
    <w:rsid w:val="00D15FB1"/>
    <w:rsid w:val="00D234D3"/>
    <w:rsid w:val="00D33FFC"/>
    <w:rsid w:val="00D362F4"/>
    <w:rsid w:val="00D51295"/>
    <w:rsid w:val="00D66BD3"/>
    <w:rsid w:val="00D70D1A"/>
    <w:rsid w:val="00D76186"/>
    <w:rsid w:val="00D77331"/>
    <w:rsid w:val="00D84552"/>
    <w:rsid w:val="00D93294"/>
    <w:rsid w:val="00D953CC"/>
    <w:rsid w:val="00D95CF1"/>
    <w:rsid w:val="00DB235F"/>
    <w:rsid w:val="00DB5D03"/>
    <w:rsid w:val="00DC01F6"/>
    <w:rsid w:val="00E05708"/>
    <w:rsid w:val="00E07ED6"/>
    <w:rsid w:val="00E10477"/>
    <w:rsid w:val="00E27468"/>
    <w:rsid w:val="00E27742"/>
    <w:rsid w:val="00E344A8"/>
    <w:rsid w:val="00E448AE"/>
    <w:rsid w:val="00E51B8B"/>
    <w:rsid w:val="00E51E0F"/>
    <w:rsid w:val="00E54B02"/>
    <w:rsid w:val="00E57844"/>
    <w:rsid w:val="00E7379A"/>
    <w:rsid w:val="00E752BD"/>
    <w:rsid w:val="00E82AA1"/>
    <w:rsid w:val="00E912E1"/>
    <w:rsid w:val="00E91EC5"/>
    <w:rsid w:val="00EA31AD"/>
    <w:rsid w:val="00EA4504"/>
    <w:rsid w:val="00EB17CD"/>
    <w:rsid w:val="00EC7F43"/>
    <w:rsid w:val="00ED2B63"/>
    <w:rsid w:val="00ED4B1F"/>
    <w:rsid w:val="00ED7B42"/>
    <w:rsid w:val="00EF22F5"/>
    <w:rsid w:val="00F00AC5"/>
    <w:rsid w:val="00F1458D"/>
    <w:rsid w:val="00F31A58"/>
    <w:rsid w:val="00F4018D"/>
    <w:rsid w:val="00F527B3"/>
    <w:rsid w:val="00F75331"/>
    <w:rsid w:val="00F75C26"/>
    <w:rsid w:val="00F9174B"/>
    <w:rsid w:val="00F9622A"/>
    <w:rsid w:val="00FA472F"/>
    <w:rsid w:val="00FA5116"/>
    <w:rsid w:val="00FA7113"/>
    <w:rsid w:val="00FB7A9A"/>
    <w:rsid w:val="00FC2923"/>
    <w:rsid w:val="00FD084C"/>
    <w:rsid w:val="00FE1B8A"/>
    <w:rsid w:val="00FE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D51BCB-0096-4F5E-AAFE-40855CCB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14587"/>
    <w:pPr>
      <w:keepNext/>
      <w:spacing w:before="240" w:after="120" w:line="240" w:lineRule="auto"/>
      <w:outlineLvl w:val="1"/>
    </w:pPr>
    <w:rPr>
      <w:rFonts w:ascii="Calibri" w:eastAsia="Times New Roman" w:hAnsi="Calibri" w:cs="Times New Roman"/>
      <w:b/>
      <w:bCs/>
      <w:iCs/>
      <w:color w:val="00314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4F"/>
    <w:pPr>
      <w:ind w:left="720"/>
      <w:contextualSpacing/>
    </w:pPr>
  </w:style>
  <w:style w:type="paragraph" w:styleId="Header">
    <w:name w:val="header"/>
    <w:basedOn w:val="Normal"/>
    <w:link w:val="HeaderChar"/>
    <w:uiPriority w:val="99"/>
    <w:unhideWhenUsed/>
    <w:rsid w:val="00D51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95"/>
  </w:style>
  <w:style w:type="paragraph" w:styleId="Footer">
    <w:name w:val="footer"/>
    <w:basedOn w:val="Normal"/>
    <w:link w:val="FooterChar"/>
    <w:uiPriority w:val="99"/>
    <w:unhideWhenUsed/>
    <w:rsid w:val="00D5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95"/>
  </w:style>
  <w:style w:type="paragraph" w:styleId="FootnoteText">
    <w:name w:val="footnote text"/>
    <w:basedOn w:val="Normal"/>
    <w:link w:val="FootnoteTextChar"/>
    <w:uiPriority w:val="99"/>
    <w:semiHidden/>
    <w:unhideWhenUsed/>
    <w:rsid w:val="008B3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AAD"/>
    <w:rPr>
      <w:sz w:val="20"/>
      <w:szCs w:val="20"/>
    </w:rPr>
  </w:style>
  <w:style w:type="character" w:styleId="FootnoteReference">
    <w:name w:val="footnote reference"/>
    <w:basedOn w:val="DefaultParagraphFont"/>
    <w:uiPriority w:val="99"/>
    <w:semiHidden/>
    <w:unhideWhenUsed/>
    <w:rsid w:val="008B3AAD"/>
    <w:rPr>
      <w:vertAlign w:val="superscript"/>
    </w:rPr>
  </w:style>
  <w:style w:type="paragraph" w:styleId="BalloonText">
    <w:name w:val="Balloon Text"/>
    <w:basedOn w:val="Normal"/>
    <w:link w:val="BalloonTextChar"/>
    <w:uiPriority w:val="99"/>
    <w:semiHidden/>
    <w:unhideWhenUsed/>
    <w:rsid w:val="0013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27"/>
    <w:rPr>
      <w:rFonts w:ascii="Tahoma" w:hAnsi="Tahoma" w:cs="Tahoma"/>
      <w:sz w:val="16"/>
      <w:szCs w:val="16"/>
    </w:rPr>
  </w:style>
  <w:style w:type="table" w:styleId="TableGrid">
    <w:name w:val="Table Grid"/>
    <w:basedOn w:val="TableNormal"/>
    <w:uiPriority w:val="59"/>
    <w:rsid w:val="0076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1140D"/>
    <w:pPr>
      <w:spacing w:after="120" w:line="240" w:lineRule="auto"/>
      <w:ind w:left="360"/>
    </w:pPr>
    <w:rPr>
      <w:rFonts w:ascii="Palatino Linotype" w:eastAsia="Times New Roman" w:hAnsi="Palatino Linotype" w:cs="Times New Roman"/>
      <w:sz w:val="16"/>
      <w:szCs w:val="16"/>
    </w:rPr>
  </w:style>
  <w:style w:type="character" w:customStyle="1" w:styleId="BodyTextIndent3Char">
    <w:name w:val="Body Text Indent 3 Char"/>
    <w:basedOn w:val="DefaultParagraphFont"/>
    <w:link w:val="BodyTextIndent3"/>
    <w:rsid w:val="0091140D"/>
    <w:rPr>
      <w:rFonts w:ascii="Palatino Linotype" w:eastAsia="Times New Roman" w:hAnsi="Palatino Linotype" w:cs="Times New Roman"/>
      <w:sz w:val="16"/>
      <w:szCs w:val="16"/>
    </w:rPr>
  </w:style>
  <w:style w:type="character" w:customStyle="1" w:styleId="Heading2Char">
    <w:name w:val="Heading 2 Char"/>
    <w:basedOn w:val="DefaultParagraphFont"/>
    <w:link w:val="Heading2"/>
    <w:rsid w:val="00414587"/>
    <w:rPr>
      <w:rFonts w:ascii="Calibri" w:eastAsia="Times New Roman" w:hAnsi="Calibri" w:cs="Times New Roman"/>
      <w:b/>
      <w:bCs/>
      <w:iCs/>
      <w:color w:val="003145"/>
      <w:sz w:val="28"/>
      <w:szCs w:val="28"/>
    </w:rPr>
  </w:style>
  <w:style w:type="character" w:styleId="CommentReference">
    <w:name w:val="annotation reference"/>
    <w:basedOn w:val="DefaultParagraphFont"/>
    <w:uiPriority w:val="99"/>
    <w:semiHidden/>
    <w:unhideWhenUsed/>
    <w:rsid w:val="00FD084C"/>
    <w:rPr>
      <w:sz w:val="16"/>
      <w:szCs w:val="16"/>
    </w:rPr>
  </w:style>
  <w:style w:type="paragraph" w:styleId="CommentText">
    <w:name w:val="annotation text"/>
    <w:basedOn w:val="Normal"/>
    <w:link w:val="CommentTextChar"/>
    <w:uiPriority w:val="99"/>
    <w:semiHidden/>
    <w:unhideWhenUsed/>
    <w:rsid w:val="00FD084C"/>
    <w:pPr>
      <w:spacing w:line="240" w:lineRule="auto"/>
    </w:pPr>
    <w:rPr>
      <w:sz w:val="20"/>
      <w:szCs w:val="20"/>
    </w:rPr>
  </w:style>
  <w:style w:type="character" w:customStyle="1" w:styleId="CommentTextChar">
    <w:name w:val="Comment Text Char"/>
    <w:basedOn w:val="DefaultParagraphFont"/>
    <w:link w:val="CommentText"/>
    <w:uiPriority w:val="99"/>
    <w:semiHidden/>
    <w:rsid w:val="00FD084C"/>
    <w:rPr>
      <w:sz w:val="20"/>
      <w:szCs w:val="20"/>
    </w:rPr>
  </w:style>
  <w:style w:type="paragraph" w:styleId="CommentSubject">
    <w:name w:val="annotation subject"/>
    <w:basedOn w:val="CommentText"/>
    <w:next w:val="CommentText"/>
    <w:link w:val="CommentSubjectChar"/>
    <w:uiPriority w:val="99"/>
    <w:semiHidden/>
    <w:unhideWhenUsed/>
    <w:rsid w:val="00FD084C"/>
    <w:rPr>
      <w:b/>
      <w:bCs/>
    </w:rPr>
  </w:style>
  <w:style w:type="character" w:customStyle="1" w:styleId="CommentSubjectChar">
    <w:name w:val="Comment Subject Char"/>
    <w:basedOn w:val="CommentTextChar"/>
    <w:link w:val="CommentSubject"/>
    <w:uiPriority w:val="99"/>
    <w:semiHidden/>
    <w:rsid w:val="00FD084C"/>
    <w:rPr>
      <w:b/>
      <w:bCs/>
      <w:sz w:val="20"/>
      <w:szCs w:val="20"/>
    </w:rPr>
  </w:style>
  <w:style w:type="paragraph" w:styleId="Revision">
    <w:name w:val="Revision"/>
    <w:hidden/>
    <w:uiPriority w:val="99"/>
    <w:semiHidden/>
    <w:rsid w:val="00CB2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5617">
      <w:bodyDiv w:val="1"/>
      <w:marLeft w:val="0"/>
      <w:marRight w:val="0"/>
      <w:marTop w:val="0"/>
      <w:marBottom w:val="0"/>
      <w:divBdr>
        <w:top w:val="none" w:sz="0" w:space="0" w:color="auto"/>
        <w:left w:val="none" w:sz="0" w:space="0" w:color="auto"/>
        <w:bottom w:val="none" w:sz="0" w:space="0" w:color="auto"/>
        <w:right w:val="none" w:sz="0" w:space="0" w:color="auto"/>
      </w:divBdr>
    </w:div>
    <w:div w:id="18183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A7AE-3B05-4B28-84F6-7ECE0E52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Shasta County</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County</dc:creator>
  <cp:lastModifiedBy>Jeff VanAusdall</cp:lastModifiedBy>
  <cp:revision>4</cp:revision>
  <cp:lastPrinted>2016-01-13T16:23:00Z</cp:lastPrinted>
  <dcterms:created xsi:type="dcterms:W3CDTF">2016-01-13T16:21:00Z</dcterms:created>
  <dcterms:modified xsi:type="dcterms:W3CDTF">2016-01-13T19:16:00Z</dcterms:modified>
</cp:coreProperties>
</file>